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AEA38" w14:textId="1696865C" w:rsidR="001C1A34" w:rsidRPr="00C458CF" w:rsidRDefault="001C1A34" w:rsidP="001C1A34">
      <w:pPr>
        <w:pStyle w:val="3GPPHeader"/>
        <w:spacing w:after="60"/>
        <w:rPr>
          <w:sz w:val="22"/>
          <w:szCs w:val="22"/>
        </w:rPr>
      </w:pPr>
      <w:r w:rsidRPr="00CE0424">
        <w:t>3GPP TSG-RAN WG</w:t>
      </w:r>
      <w:r>
        <w:t>2</w:t>
      </w:r>
      <w:r w:rsidRPr="00CE0424">
        <w:t xml:space="preserve"> #</w:t>
      </w:r>
      <w:r>
        <w:t>122</w:t>
      </w:r>
      <w:r w:rsidRPr="00CE0424">
        <w:tab/>
      </w:r>
      <w:r w:rsidR="00F47351" w:rsidRPr="00F47351">
        <w:rPr>
          <w:sz w:val="22"/>
          <w:szCs w:val="22"/>
        </w:rPr>
        <w:t>R2-2305987</w:t>
      </w:r>
    </w:p>
    <w:p w14:paraId="35C84009" w14:textId="77777777" w:rsidR="001C1A34" w:rsidRPr="00CE0424" w:rsidRDefault="001C1A34" w:rsidP="001C1A34">
      <w:pPr>
        <w:pStyle w:val="3GPPHeader"/>
      </w:pPr>
      <w:r>
        <w:t>Incheon, May 22</w:t>
      </w:r>
      <w:r>
        <w:rPr>
          <w:vertAlign w:val="superscript"/>
        </w:rPr>
        <w:t>nd</w:t>
      </w:r>
      <w:r>
        <w:t xml:space="preserve"> – May 26</w:t>
      </w:r>
      <w:r w:rsidRPr="00A13E05">
        <w:rPr>
          <w:vertAlign w:val="superscript"/>
        </w:rPr>
        <w:t>th</w:t>
      </w:r>
      <w:r>
        <w:t>, 2023</w:t>
      </w:r>
    </w:p>
    <w:p w14:paraId="5E4D5D01" w14:textId="77777777" w:rsidR="001C1A34" w:rsidRPr="007A0BCB" w:rsidRDefault="001C1A34" w:rsidP="001C1A34">
      <w:pPr>
        <w:pStyle w:val="3GPPHeader"/>
        <w:rPr>
          <w:sz w:val="22"/>
          <w:szCs w:val="22"/>
          <w:lang w:val="en-US"/>
        </w:rPr>
      </w:pPr>
      <w:r w:rsidRPr="007A0BCB">
        <w:rPr>
          <w:sz w:val="22"/>
          <w:szCs w:val="22"/>
          <w:lang w:val="en-US"/>
        </w:rPr>
        <w:t>Agenda Item:</w:t>
      </w:r>
      <w:r w:rsidRPr="007A0BCB">
        <w:rPr>
          <w:sz w:val="22"/>
          <w:szCs w:val="22"/>
          <w:lang w:val="en-US"/>
        </w:rPr>
        <w:tab/>
      </w:r>
      <w:r>
        <w:t>7.13.2</w:t>
      </w:r>
    </w:p>
    <w:p w14:paraId="58F5D0FE" w14:textId="77777777" w:rsidR="001C1A34" w:rsidRPr="00CE0424" w:rsidRDefault="001C1A34" w:rsidP="001C1A34">
      <w:pPr>
        <w:pStyle w:val="3GPPHeader"/>
        <w:rPr>
          <w:sz w:val="22"/>
          <w:szCs w:val="22"/>
        </w:rPr>
      </w:pPr>
      <w:r>
        <w:rPr>
          <w:sz w:val="22"/>
          <w:szCs w:val="22"/>
        </w:rPr>
        <w:t>Source:</w:t>
      </w:r>
      <w:r w:rsidRPr="00CE0424">
        <w:rPr>
          <w:sz w:val="22"/>
          <w:szCs w:val="22"/>
        </w:rPr>
        <w:tab/>
        <w:t>Ericsson</w:t>
      </w:r>
    </w:p>
    <w:p w14:paraId="695F941C" w14:textId="3848125E" w:rsidR="001C1A34" w:rsidRPr="00CE0424" w:rsidRDefault="001C1A34" w:rsidP="001C1A34">
      <w:pPr>
        <w:pStyle w:val="3GPPHeader"/>
        <w:rPr>
          <w:sz w:val="22"/>
          <w:szCs w:val="22"/>
        </w:rPr>
      </w:pPr>
      <w:r>
        <w:rPr>
          <w:sz w:val="22"/>
          <w:szCs w:val="22"/>
        </w:rPr>
        <w:t>Title:</w:t>
      </w:r>
      <w:r w:rsidRPr="00CE0424">
        <w:rPr>
          <w:sz w:val="22"/>
          <w:szCs w:val="22"/>
        </w:rPr>
        <w:tab/>
      </w:r>
      <w:r w:rsidR="00A82EDC">
        <w:rPr>
          <w:sz w:val="22"/>
          <w:szCs w:val="22"/>
        </w:rPr>
        <w:t>Mobility Robustness Optimization</w:t>
      </w:r>
      <w:r w:rsidR="00AC0FB2">
        <w:rPr>
          <w:sz w:val="22"/>
          <w:szCs w:val="22"/>
        </w:rPr>
        <w:t xml:space="preserve"> – all topics</w:t>
      </w:r>
    </w:p>
    <w:p w14:paraId="12C1EF56" w14:textId="77777777" w:rsidR="001C1A34" w:rsidRPr="00A82E0F" w:rsidRDefault="001C1A34" w:rsidP="001C1A34">
      <w:pPr>
        <w:pStyle w:val="3GPPHeader"/>
        <w:rPr>
          <w:sz w:val="22"/>
          <w:szCs w:val="22"/>
        </w:rPr>
      </w:pPr>
      <w:r w:rsidRPr="00CE0424">
        <w:rPr>
          <w:sz w:val="22"/>
          <w:szCs w:val="22"/>
        </w:rPr>
        <w:t>Document for:</w:t>
      </w:r>
      <w:r w:rsidRPr="00CE0424">
        <w:rPr>
          <w:sz w:val="22"/>
          <w:szCs w:val="22"/>
        </w:rPr>
        <w:tab/>
      </w:r>
      <w:r w:rsidRPr="004B4076">
        <w:rPr>
          <w:sz w:val="22"/>
          <w:szCs w:val="22"/>
        </w:rPr>
        <w:t>Discussion, Decision</w:t>
      </w:r>
    </w:p>
    <w:p w14:paraId="446FE46A" w14:textId="775A3A82" w:rsidR="001C1A34" w:rsidRDefault="001C1A34" w:rsidP="002E677B">
      <w:pPr>
        <w:pStyle w:val="Heading1"/>
        <w:jc w:val="both"/>
      </w:pPr>
      <w:r>
        <w:t>1</w:t>
      </w:r>
      <w:r>
        <w:tab/>
      </w:r>
      <w:r w:rsidRPr="00CE0424">
        <w:t>Introduction</w:t>
      </w:r>
    </w:p>
    <w:p w14:paraId="7ED808C5" w14:textId="0ADEE4E2" w:rsidR="002E677B" w:rsidRDefault="001C1A34" w:rsidP="001C1A34">
      <w:pPr>
        <w:pStyle w:val="BodyText"/>
      </w:pPr>
      <w:r>
        <w:t xml:space="preserve">In this contribution, we address </w:t>
      </w:r>
      <w:r w:rsidR="002E677B">
        <w:t>four different topics of the MRO including the following:</w:t>
      </w:r>
    </w:p>
    <w:p w14:paraId="6A9D7EB2" w14:textId="3ACF4706" w:rsidR="002E677B" w:rsidRDefault="002E677B" w:rsidP="00CC1101">
      <w:pPr>
        <w:pStyle w:val="BodyText"/>
        <w:numPr>
          <w:ilvl w:val="0"/>
          <w:numId w:val="32"/>
        </w:numPr>
      </w:pPr>
      <w:r>
        <w:t>Fallback from NR to LTE HO failure</w:t>
      </w:r>
    </w:p>
    <w:p w14:paraId="23017B2B" w14:textId="5FCE7006" w:rsidR="002E677B" w:rsidRDefault="00CC1101" w:rsidP="00CC1101">
      <w:pPr>
        <w:pStyle w:val="BodyText"/>
        <w:numPr>
          <w:ilvl w:val="0"/>
          <w:numId w:val="32"/>
        </w:numPr>
      </w:pPr>
      <w:r>
        <w:t>SHR enhancements</w:t>
      </w:r>
    </w:p>
    <w:p w14:paraId="303D48D8" w14:textId="6F9FCEA7" w:rsidR="00CC1101" w:rsidRDefault="00CC1101" w:rsidP="00CC1101">
      <w:pPr>
        <w:pStyle w:val="BodyText"/>
        <w:numPr>
          <w:ilvl w:val="0"/>
          <w:numId w:val="32"/>
        </w:numPr>
      </w:pPr>
      <w:r>
        <w:t xml:space="preserve">SPR </w:t>
      </w:r>
    </w:p>
    <w:p w14:paraId="5573E0A9" w14:textId="2B33D485" w:rsidR="002E677B" w:rsidRDefault="00CC1101" w:rsidP="00CC1101">
      <w:pPr>
        <w:pStyle w:val="BodyText"/>
        <w:numPr>
          <w:ilvl w:val="0"/>
          <w:numId w:val="32"/>
        </w:numPr>
      </w:pPr>
      <w:r>
        <w:t>MRO for DC scenarios</w:t>
      </w:r>
    </w:p>
    <w:p w14:paraId="28A99A26" w14:textId="5528FB72" w:rsidR="001C1A34" w:rsidRDefault="001C1A34" w:rsidP="001C1A34">
      <w:pPr>
        <w:pStyle w:val="Heading1"/>
        <w:jc w:val="both"/>
      </w:pPr>
      <w:bookmarkStart w:id="0" w:name="_Ref178064866"/>
      <w:r>
        <w:t>2</w:t>
      </w:r>
      <w:r>
        <w:tab/>
        <w:t xml:space="preserve">Discussion on MRO for fallback </w:t>
      </w:r>
      <w:r w:rsidR="00CA5872">
        <w:t>procedure</w:t>
      </w:r>
    </w:p>
    <w:p w14:paraId="2EA3F24A" w14:textId="77777777" w:rsidR="00784112" w:rsidRDefault="00784112" w:rsidP="00784112">
      <w:pPr>
        <w:jc w:val="both"/>
        <w:rPr>
          <w:rFonts w:ascii="Arial" w:hAnsi="Arial"/>
          <w:lang w:val="en-US"/>
        </w:rPr>
      </w:pPr>
      <w:r>
        <w:rPr>
          <w:rFonts w:ascii="Arial" w:hAnsi="Arial"/>
          <w:lang w:val="en-US"/>
        </w:rPr>
        <w:t>In RAN2#121bis-e meeting, the following agreements were taken on MRO for inter-system handover for voice fallback.</w:t>
      </w:r>
    </w:p>
    <w:p w14:paraId="6292CFA1" w14:textId="77777777" w:rsidR="00784112" w:rsidRPr="00F64D51" w:rsidRDefault="00784112" w:rsidP="00784112">
      <w:pPr>
        <w:pStyle w:val="Doc-text2"/>
        <w:pBdr>
          <w:top w:val="single" w:sz="4" w:space="1" w:color="auto"/>
          <w:left w:val="single" w:sz="4" w:space="4" w:color="auto"/>
          <w:bottom w:val="single" w:sz="4" w:space="1" w:color="auto"/>
          <w:right w:val="single" w:sz="4" w:space="4" w:color="auto"/>
        </w:pBdr>
        <w:jc w:val="both"/>
        <w:rPr>
          <w:rFonts w:eastAsia="SimSun"/>
          <w:b/>
        </w:rPr>
      </w:pPr>
      <w:r w:rsidRPr="00F64D51">
        <w:rPr>
          <w:rFonts w:eastAsia="SimSun"/>
          <w:b/>
        </w:rPr>
        <w:t>Agreements:</w:t>
      </w:r>
    </w:p>
    <w:p w14:paraId="35345005" w14:textId="77777777" w:rsidR="00784112" w:rsidRPr="00F64D51" w:rsidRDefault="00784112" w:rsidP="00784112">
      <w:pPr>
        <w:pStyle w:val="Doc-text2"/>
        <w:pBdr>
          <w:top w:val="single" w:sz="4" w:space="1" w:color="auto"/>
          <w:left w:val="single" w:sz="4" w:space="4" w:color="auto"/>
          <w:bottom w:val="single" w:sz="4" w:space="1" w:color="auto"/>
          <w:right w:val="single" w:sz="4" w:space="4" w:color="auto"/>
        </w:pBdr>
        <w:jc w:val="both"/>
        <w:rPr>
          <w:rFonts w:eastAsia="SimSun"/>
        </w:rPr>
      </w:pPr>
      <w:r w:rsidRPr="00F64D51">
        <w:rPr>
          <w:rFonts w:eastAsia="SimSun"/>
        </w:rPr>
        <w:t>1</w:t>
      </w:r>
      <w:r w:rsidRPr="00F64D51">
        <w:rPr>
          <w:rFonts w:eastAsia="SimSun"/>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32EEA550" w14:textId="77777777" w:rsidR="00784112" w:rsidRPr="00F64D51" w:rsidRDefault="00784112" w:rsidP="00784112">
      <w:pPr>
        <w:pStyle w:val="Doc-text2"/>
        <w:pBdr>
          <w:top w:val="single" w:sz="4" w:space="1" w:color="auto"/>
          <w:left w:val="single" w:sz="4" w:space="4" w:color="auto"/>
          <w:bottom w:val="single" w:sz="4" w:space="1" w:color="auto"/>
          <w:right w:val="single" w:sz="4" w:space="4" w:color="auto"/>
        </w:pBdr>
        <w:jc w:val="both"/>
        <w:rPr>
          <w:rFonts w:eastAsia="SimSun"/>
        </w:rPr>
      </w:pPr>
      <w:r w:rsidRPr="00F64D51">
        <w:rPr>
          <w:rFonts w:eastAsia="SimSun"/>
        </w:rPr>
        <w:t>2</w:t>
      </w:r>
      <w:r w:rsidRPr="00F64D51">
        <w:rPr>
          <w:rFonts w:eastAsia="SimSun"/>
        </w:rPr>
        <w:tab/>
      </w:r>
      <w:r>
        <w:rPr>
          <w:rFonts w:eastAsia="SimSun"/>
        </w:rPr>
        <w:t xml:space="preserve">FFS: </w:t>
      </w:r>
      <w:r w:rsidRPr="00F64D51">
        <w:rPr>
          <w:rFonts w:eastAsia="SimSun"/>
        </w:rPr>
        <w:t>Introduce an indication for the scenario of RLF after successful voice fallback HO in the LTE RLF report regarding voice fallback.</w:t>
      </w:r>
    </w:p>
    <w:p w14:paraId="0848AB35" w14:textId="77777777" w:rsidR="00784112" w:rsidRPr="00212E4A" w:rsidRDefault="00784112" w:rsidP="00784112">
      <w:pPr>
        <w:pStyle w:val="Doc-text2"/>
        <w:pBdr>
          <w:top w:val="single" w:sz="4" w:space="1" w:color="auto"/>
          <w:left w:val="single" w:sz="4" w:space="4" w:color="auto"/>
          <w:bottom w:val="single" w:sz="4" w:space="1" w:color="auto"/>
          <w:right w:val="single" w:sz="4" w:space="4" w:color="auto"/>
        </w:pBdr>
        <w:jc w:val="both"/>
        <w:rPr>
          <w:rFonts w:eastAsia="SimSun"/>
        </w:rPr>
      </w:pPr>
      <w:r w:rsidRPr="00212E4A">
        <w:rPr>
          <w:rFonts w:eastAsia="SimSun"/>
        </w:rPr>
        <w:t>3</w:t>
      </w:r>
      <w:r>
        <w:rPr>
          <w:rFonts w:eastAsia="SimSun"/>
        </w:rPr>
        <w:tab/>
      </w:r>
      <w:r w:rsidRPr="00212E4A">
        <w:rPr>
          <w:rFonts w:eastAsia="SimSun"/>
        </w:rPr>
        <w:t xml:space="preserve">UE logs the </w:t>
      </w:r>
      <w:r w:rsidRPr="00212E4A">
        <w:rPr>
          <w:rFonts w:eastAsia="SimSun" w:hint="eastAsia"/>
        </w:rPr>
        <w:t xml:space="preserve">agreed </w:t>
      </w:r>
      <w:r w:rsidRPr="00212E4A">
        <w:rPr>
          <w:rFonts w:eastAsia="SimSun"/>
        </w:rPr>
        <w:t>indication regarding voice fallback in the NR RLF report.</w:t>
      </w:r>
    </w:p>
    <w:p w14:paraId="66DCCC1F" w14:textId="77777777" w:rsidR="00784112" w:rsidRPr="00820E0C" w:rsidRDefault="00784112" w:rsidP="00784112">
      <w:pPr>
        <w:pStyle w:val="Doc-text2"/>
        <w:pBdr>
          <w:top w:val="single" w:sz="4" w:space="1" w:color="auto"/>
          <w:left w:val="single" w:sz="4" w:space="4" w:color="auto"/>
          <w:bottom w:val="single" w:sz="4" w:space="1" w:color="auto"/>
          <w:right w:val="single" w:sz="4" w:space="4" w:color="auto"/>
        </w:pBdr>
        <w:jc w:val="both"/>
        <w:rPr>
          <w:rFonts w:eastAsia="SimSun"/>
        </w:rPr>
      </w:pPr>
      <w:r w:rsidRPr="00820E0C">
        <w:rPr>
          <w:rFonts w:eastAsia="SimSun"/>
        </w:rPr>
        <w:t>4</w:t>
      </w:r>
      <w:r>
        <w:rPr>
          <w:rFonts w:eastAsia="SimSun"/>
        </w:rPr>
        <w:tab/>
        <w:t xml:space="preserve">FFS: </w:t>
      </w:r>
      <w:r w:rsidRPr="00820E0C">
        <w:rPr>
          <w:rFonts w:eastAsia="SimSun"/>
        </w:rPr>
        <w:t>RAN2 agree to differentiate an acceptable E-UTRA cell from a suitable</w:t>
      </w:r>
      <w:r w:rsidRPr="00820E0C">
        <w:rPr>
          <w:rFonts w:eastAsia="SimSun" w:hint="eastAsia"/>
        </w:rPr>
        <w:t xml:space="preserve"> E-UTRA</w:t>
      </w:r>
      <w:r w:rsidRPr="00820E0C">
        <w:rPr>
          <w:rFonts w:eastAsia="SimSun"/>
        </w:rPr>
        <w:t xml:space="preserve"> cell in the RLF report in case of voiceFallback HOF. FFS </w:t>
      </w:r>
      <w:r w:rsidRPr="00820E0C">
        <w:rPr>
          <w:rFonts w:eastAsia="SimSun" w:hint="eastAsia"/>
        </w:rPr>
        <w:t>explicit or implicit indications</w:t>
      </w:r>
      <w:r>
        <w:rPr>
          <w:rFonts w:eastAsia="SimSun"/>
        </w:rPr>
        <w:t>.</w:t>
      </w:r>
    </w:p>
    <w:p w14:paraId="3F8FA01F" w14:textId="77777777" w:rsidR="00784112" w:rsidRDefault="00784112" w:rsidP="00784112">
      <w:pPr>
        <w:pStyle w:val="BodyText"/>
      </w:pPr>
    </w:p>
    <w:p w14:paraId="03FE9D75" w14:textId="2579043A" w:rsidR="00784112" w:rsidRDefault="00784112" w:rsidP="00784112">
      <w:pPr>
        <w:pStyle w:val="BodyText"/>
      </w:pPr>
      <w:r>
        <w:t>In this section, we address remaining issues and the FFSs for MRO for inter-system handover for voice fallback.</w:t>
      </w:r>
    </w:p>
    <w:p w14:paraId="773B07B7" w14:textId="77777777" w:rsidR="00784112" w:rsidRPr="00784112" w:rsidRDefault="00784112" w:rsidP="00784112"/>
    <w:p w14:paraId="0D8B649F" w14:textId="77777777" w:rsidR="001C1A34" w:rsidRPr="00EF333B" w:rsidRDefault="001C1A34" w:rsidP="001C1A34">
      <w:pPr>
        <w:jc w:val="both"/>
        <w:rPr>
          <w:rFonts w:ascii="Arial" w:hAnsi="Arial" w:cs="Arial"/>
          <w:b/>
          <w:bCs/>
          <w:u w:val="single"/>
          <w:lang w:val="en-US"/>
        </w:rPr>
      </w:pPr>
      <w:r w:rsidRPr="00EF333B">
        <w:rPr>
          <w:rFonts w:ascii="Arial" w:hAnsi="Arial" w:cs="Arial"/>
          <w:b/>
          <w:bCs/>
          <w:u w:val="single"/>
          <w:lang w:val="en-US"/>
        </w:rPr>
        <w:t xml:space="preserve">RLF reports upon fallback failure for ongoing emergency call </w:t>
      </w:r>
    </w:p>
    <w:p w14:paraId="379FDFCF" w14:textId="77777777" w:rsidR="001C1A34" w:rsidRDefault="001C1A34" w:rsidP="001C1A34">
      <w:pPr>
        <w:jc w:val="both"/>
        <w:rPr>
          <w:rFonts w:ascii="Arial" w:hAnsi="Arial" w:cs="Arial"/>
          <w:lang w:val="en-US"/>
        </w:rPr>
      </w:pPr>
      <w:r>
        <w:rPr>
          <w:rFonts w:ascii="Arial" w:hAnsi="Arial" w:cs="Arial"/>
          <w:lang w:val="en-US"/>
        </w:rPr>
        <w:t xml:space="preserve">The aim of the optimization for voicefallback handover failure report was to separate the RLF reports from normal MRO related reports, i.e., to stop miss-classifying the RLF reports as too-early handover or handover to wrong cells. However, for emergency calls, since UE behavior is similar to that of the voicefallback scenario, similar situation can arise. UE may need to perform a fall back from NR to LTE with a MobilityFromNR command to continue an emergency service. If the UE fails during a fallback HO from NR to LTE, the failure should not be classified as a Too Early or Too Late HO failure or HO to a wrong cell. Hence, we think the RLF reports generated due to handover performed for emergency calls needs to be differentiated in order not to be considered under MRO failure classification procedures. </w:t>
      </w:r>
    </w:p>
    <w:p w14:paraId="0B59DCF2" w14:textId="77777777" w:rsidR="001C1A34" w:rsidRDefault="001C1A34" w:rsidP="001C1A34">
      <w:pPr>
        <w:jc w:val="both"/>
        <w:rPr>
          <w:rFonts w:ascii="Arial" w:hAnsi="Arial" w:cs="Arial"/>
          <w:lang w:val="en-US"/>
        </w:rPr>
      </w:pPr>
      <w:r>
        <w:rPr>
          <w:rFonts w:ascii="Arial" w:hAnsi="Arial" w:cs="Arial"/>
          <w:lang w:val="en-US"/>
        </w:rPr>
        <w:t>Enabling this differentiation can be easily done by extending the currently agreed voiceFallback indication. So we propose to extend the voiceFallback indication to enable differentiating the RLF reports upon emergency call from the normal RLF reports collected for the MRO purpose. We think how to extend the current voicefallback indication can be considered for further study.</w:t>
      </w:r>
    </w:p>
    <w:p w14:paraId="117DF41A" w14:textId="5C1D80FA" w:rsidR="001C1A34" w:rsidRPr="00EC2A93" w:rsidRDefault="001C1A34" w:rsidP="001C1A34">
      <w:pPr>
        <w:pStyle w:val="Proposal"/>
        <w:rPr>
          <w:rFonts w:cs="Arial"/>
          <w:lang w:val="en-US"/>
        </w:rPr>
      </w:pPr>
      <w:bookmarkStart w:id="1" w:name="_Toc134720862"/>
      <w:r w:rsidRPr="748012C2">
        <w:rPr>
          <w:rFonts w:cs="Arial"/>
        </w:rPr>
        <w:lastRenderedPageBreak/>
        <w:t>RAN2 to</w:t>
      </w:r>
      <w:r w:rsidR="57BBC371" w:rsidRPr="748012C2">
        <w:rPr>
          <w:rFonts w:cs="Arial"/>
        </w:rPr>
        <w:t xml:space="preserve"> </w:t>
      </w:r>
      <w:r w:rsidRPr="748012C2">
        <w:rPr>
          <w:rFonts w:cs="Arial"/>
        </w:rPr>
        <w:t>agree extend the existing voiceFallback indication to differentiate the emergency calls fallback failure from normal HOs. FFS the details.</w:t>
      </w:r>
      <w:bookmarkEnd w:id="1"/>
    </w:p>
    <w:bookmarkEnd w:id="0"/>
    <w:p w14:paraId="280A4829" w14:textId="77777777" w:rsidR="001C1A34" w:rsidRDefault="001C1A34" w:rsidP="001C1A34">
      <w:pPr>
        <w:jc w:val="both"/>
        <w:rPr>
          <w:rFonts w:ascii="Arial" w:hAnsi="Arial" w:cs="Arial"/>
          <w:u w:val="single"/>
          <w:lang w:val="en-US"/>
        </w:rPr>
      </w:pPr>
    </w:p>
    <w:p w14:paraId="2D7F2802" w14:textId="77777777" w:rsidR="001C1A34" w:rsidRPr="00F76A02" w:rsidRDefault="001C1A34" w:rsidP="001C1A34">
      <w:pPr>
        <w:jc w:val="both"/>
        <w:rPr>
          <w:rFonts w:ascii="Arial" w:hAnsi="Arial" w:cs="Arial"/>
          <w:b/>
          <w:bCs/>
          <w:u w:val="single"/>
          <w:lang w:val="en-US"/>
        </w:rPr>
      </w:pPr>
      <w:r w:rsidRPr="00F76A02">
        <w:rPr>
          <w:rFonts w:ascii="Arial" w:hAnsi="Arial" w:cs="Arial"/>
          <w:b/>
          <w:bCs/>
          <w:u w:val="single"/>
          <w:lang w:val="en-US"/>
        </w:rPr>
        <w:t>Differentiating suitable cell from acceptable cell</w:t>
      </w:r>
    </w:p>
    <w:p w14:paraId="022EA9C6" w14:textId="77777777" w:rsidR="001C1A34" w:rsidRDefault="001C1A34" w:rsidP="001C1A34">
      <w:pPr>
        <w:jc w:val="both"/>
        <w:rPr>
          <w:rFonts w:ascii="Arial" w:hAnsi="Arial" w:cs="Arial"/>
          <w:lang w:val="en-US"/>
        </w:rPr>
      </w:pPr>
      <w:r>
        <w:rPr>
          <w:rFonts w:ascii="Arial" w:hAnsi="Arial" w:cs="Arial"/>
        </w:rPr>
        <w:t xml:space="preserve">As part of Rel-17 </w:t>
      </w:r>
      <w:r w:rsidRPr="00D509CA">
        <w:rPr>
          <w:rFonts w:ascii="Arial" w:hAnsi="Arial" w:cs="Arial"/>
          <w:i/>
          <w:iCs/>
        </w:rPr>
        <w:t>MobilityFromNR</w:t>
      </w:r>
      <w:r>
        <w:rPr>
          <w:rFonts w:ascii="Arial" w:hAnsi="Arial" w:cs="Arial"/>
        </w:rPr>
        <w:t xml:space="preserve"> procedure, RAN2</w:t>
      </w:r>
      <w:r w:rsidRPr="00A821EB">
        <w:rPr>
          <w:rFonts w:ascii="Arial" w:hAnsi="Arial" w:cs="Arial"/>
          <w:lang w:val="en-US"/>
        </w:rPr>
        <w:t xml:space="preserve"> agreed to enable </w:t>
      </w:r>
      <w:r>
        <w:rPr>
          <w:rFonts w:ascii="Arial" w:hAnsi="Arial" w:cs="Arial"/>
          <w:lang w:val="en-US"/>
        </w:rPr>
        <w:t xml:space="preserve">the UE in the voice fallback handover procedure to select an </w:t>
      </w:r>
      <w:r w:rsidRPr="00A821EB">
        <w:rPr>
          <w:rFonts w:ascii="Arial" w:hAnsi="Arial" w:cs="Arial"/>
          <w:lang w:val="en-US"/>
        </w:rPr>
        <w:t>acceptable cell if no suitable E</w:t>
      </w:r>
      <w:r>
        <w:rPr>
          <w:rFonts w:ascii="Arial" w:hAnsi="Arial" w:cs="Arial"/>
          <w:lang w:val="en-US"/>
        </w:rPr>
        <w:t>-</w:t>
      </w:r>
      <w:r w:rsidRPr="00A821EB">
        <w:rPr>
          <w:rFonts w:ascii="Arial" w:hAnsi="Arial" w:cs="Arial"/>
          <w:lang w:val="en-US"/>
        </w:rPr>
        <w:t>UTRA cell is found</w:t>
      </w:r>
      <w:r>
        <w:rPr>
          <w:rFonts w:ascii="Arial" w:hAnsi="Arial" w:cs="Arial"/>
          <w:lang w:val="en-US"/>
        </w:rPr>
        <w:t xml:space="preserve"> in particular in case of ongoing emergency call</w:t>
      </w:r>
      <w:r w:rsidRPr="00A821EB">
        <w:rPr>
          <w:rFonts w:ascii="Arial" w:hAnsi="Arial" w:cs="Arial"/>
          <w:lang w:val="en-US"/>
        </w:rPr>
        <w:t>.</w:t>
      </w:r>
      <w:r>
        <w:rPr>
          <w:rFonts w:ascii="Arial" w:hAnsi="Arial" w:cs="Arial"/>
          <w:lang w:val="en-US"/>
        </w:rPr>
        <w:t xml:space="preserve"> This has been captured in TS 38.331 (version 17.3.0). An excerpt from the procedural text concerning selection of acceptable cell is shown in the following.</w:t>
      </w:r>
    </w:p>
    <w:p w14:paraId="5333CAA0" w14:textId="77777777" w:rsidR="001C1A34" w:rsidRDefault="001C1A34" w:rsidP="001C1A34">
      <w:pPr>
        <w:jc w:val="both"/>
        <w:rPr>
          <w:rFonts w:ascii="Arial" w:hAnsi="Arial" w:cs="Arial"/>
          <w:lang w:val="en-US"/>
        </w:rPr>
      </w:pPr>
      <w:r>
        <w:rPr>
          <w:rFonts w:ascii="Arial" w:hAnsi="Arial" w:cs="Arial"/>
          <w:noProof/>
        </w:rPr>
        <mc:AlternateContent>
          <mc:Choice Requires="wps">
            <w:drawing>
              <wp:anchor distT="0" distB="0" distL="114300" distR="114300" simplePos="0" relativeHeight="251658240" behindDoc="0" locked="0" layoutInCell="1" allowOverlap="1" wp14:anchorId="0C9BFDAD" wp14:editId="575F9802">
                <wp:simplePos x="0" y="0"/>
                <wp:positionH relativeFrom="column">
                  <wp:posOffset>311150</wp:posOffset>
                </wp:positionH>
                <wp:positionV relativeFrom="paragraph">
                  <wp:posOffset>64770</wp:posOffset>
                </wp:positionV>
                <wp:extent cx="5497158" cy="2722880"/>
                <wp:effectExtent l="0" t="0" r="15240" b="7620"/>
                <wp:wrapNone/>
                <wp:docPr id="1" name="Text Box 1"/>
                <wp:cNvGraphicFramePr/>
                <a:graphic xmlns:a="http://schemas.openxmlformats.org/drawingml/2006/main">
                  <a:graphicData uri="http://schemas.microsoft.com/office/word/2010/wordprocessingShape">
                    <wps:wsp>
                      <wps:cNvSpPr txBox="1"/>
                      <wps:spPr>
                        <a:xfrm>
                          <a:off x="0" y="0"/>
                          <a:ext cx="5497158" cy="2722880"/>
                        </a:xfrm>
                        <a:prstGeom prst="rect">
                          <a:avLst/>
                        </a:prstGeom>
                        <a:solidFill>
                          <a:schemeClr val="lt1"/>
                        </a:solidFill>
                        <a:ln w="6350">
                          <a:solidFill>
                            <a:prstClr val="black"/>
                          </a:solidFill>
                        </a:ln>
                      </wps:spPr>
                      <wps:txbx>
                        <w:txbxContent>
                          <w:p w14:paraId="4C3C8AF8" w14:textId="77777777" w:rsidR="001C1A34" w:rsidRPr="000E44CD" w:rsidRDefault="001C1A34" w:rsidP="001C1A34">
                            <w:pPr>
                              <w:pStyle w:val="Heading4"/>
                              <w:rPr>
                                <w:sz w:val="21"/>
                                <w:szCs w:val="16"/>
                              </w:rPr>
                            </w:pPr>
                            <w:bookmarkStart w:id="2" w:name="_Toc60776864"/>
                            <w:bookmarkStart w:id="3" w:name="_Toc124712726"/>
                            <w:r w:rsidRPr="000E44CD">
                              <w:rPr>
                                <w:sz w:val="21"/>
                                <w:szCs w:val="16"/>
                              </w:rPr>
                              <w:t>5.4.3.5</w:t>
                            </w:r>
                            <w:r w:rsidRPr="000E44CD">
                              <w:rPr>
                                <w:sz w:val="21"/>
                                <w:szCs w:val="16"/>
                              </w:rPr>
                              <w:tab/>
                              <w:t>Mobility from NR failure</w:t>
                            </w:r>
                            <w:bookmarkEnd w:id="2"/>
                            <w:bookmarkEnd w:id="3"/>
                          </w:p>
                          <w:p w14:paraId="49AC2748" w14:textId="77777777" w:rsidR="001C1A34" w:rsidRPr="000E44CD" w:rsidRDefault="001C1A34" w:rsidP="001C1A34">
                            <w:pPr>
                              <w:rPr>
                                <w:sz w:val="16"/>
                                <w:szCs w:val="16"/>
                              </w:rPr>
                            </w:pPr>
                            <w:r w:rsidRPr="000E44CD">
                              <w:rPr>
                                <w:sz w:val="16"/>
                                <w:szCs w:val="16"/>
                              </w:rPr>
                              <w:t>The UE shall:</w:t>
                            </w:r>
                          </w:p>
                          <w:p w14:paraId="6C6BD12A" w14:textId="77777777" w:rsidR="001C1A34" w:rsidRPr="000E44CD" w:rsidRDefault="001C1A34" w:rsidP="001C1A34">
                            <w:pPr>
                              <w:pStyle w:val="B1"/>
                              <w:rPr>
                                <w:sz w:val="16"/>
                                <w:szCs w:val="16"/>
                              </w:rPr>
                            </w:pPr>
                            <w:r w:rsidRPr="000E44CD">
                              <w:rPr>
                                <w:sz w:val="16"/>
                                <w:szCs w:val="16"/>
                              </w:rPr>
                              <w:t>1&gt;</w:t>
                            </w:r>
                            <w:r w:rsidRPr="000E44CD">
                              <w:rPr>
                                <w:sz w:val="16"/>
                                <w:szCs w:val="16"/>
                              </w:rPr>
                              <w:tab/>
                              <w:t>if the UE does not succeed in establishing the connection to the target radio access technology:</w:t>
                            </w:r>
                          </w:p>
                          <w:p w14:paraId="7F443A8E" w14:textId="77777777" w:rsidR="001C1A34" w:rsidRPr="000E44CD" w:rsidRDefault="001C1A34" w:rsidP="001C1A34">
                            <w:pPr>
                              <w:pStyle w:val="B2"/>
                              <w:rPr>
                                <w:sz w:val="16"/>
                                <w:szCs w:val="16"/>
                              </w:rPr>
                            </w:pPr>
                            <w:r w:rsidRPr="000E44CD">
                              <w:rPr>
                                <w:sz w:val="16"/>
                                <w:szCs w:val="16"/>
                              </w:rPr>
                              <w:t>2&gt;</w:t>
                            </w:r>
                            <w:r w:rsidRPr="000E44CD">
                              <w:rPr>
                                <w:sz w:val="16"/>
                                <w:szCs w:val="16"/>
                              </w:rPr>
                              <w:tab/>
                              <w:t xml:space="preserve">if the </w:t>
                            </w:r>
                            <w:r w:rsidRPr="000E44CD">
                              <w:rPr>
                                <w:i/>
                                <w:sz w:val="16"/>
                                <w:szCs w:val="16"/>
                              </w:rPr>
                              <w:t>targetRAT-Type</w:t>
                            </w:r>
                            <w:r w:rsidRPr="000E44CD">
                              <w:rPr>
                                <w:sz w:val="16"/>
                                <w:szCs w:val="16"/>
                              </w:rPr>
                              <w:t xml:space="preserve"> in the received </w:t>
                            </w:r>
                            <w:r w:rsidRPr="000E44CD">
                              <w:rPr>
                                <w:i/>
                                <w:sz w:val="16"/>
                                <w:szCs w:val="16"/>
                              </w:rPr>
                              <w:t>MobilityFromNRCommand</w:t>
                            </w:r>
                            <w:r w:rsidRPr="000E44CD">
                              <w:rPr>
                                <w:sz w:val="16"/>
                                <w:szCs w:val="16"/>
                              </w:rPr>
                              <w:t xml:space="preserve"> is set to </w:t>
                            </w:r>
                            <w:r w:rsidRPr="000E44CD">
                              <w:rPr>
                                <w:i/>
                                <w:sz w:val="16"/>
                                <w:szCs w:val="16"/>
                              </w:rPr>
                              <w:t>eutra</w:t>
                            </w:r>
                            <w:r w:rsidRPr="000E44CD">
                              <w:rPr>
                                <w:sz w:val="16"/>
                                <w:szCs w:val="16"/>
                              </w:rPr>
                              <w:t xml:space="preserve"> and the UE supports Radio Link Failure Report for Inter-RAT MRO EUTRA:</w:t>
                            </w:r>
                          </w:p>
                          <w:p w14:paraId="778754FD" w14:textId="77777777" w:rsidR="001C1A34" w:rsidRPr="000E44CD" w:rsidRDefault="001C1A34" w:rsidP="001C1A34">
                            <w:pPr>
                              <w:pStyle w:val="B3"/>
                              <w:rPr>
                                <w:sz w:val="16"/>
                                <w:szCs w:val="16"/>
                              </w:rPr>
                            </w:pPr>
                            <w:r w:rsidRPr="000E44CD">
                              <w:rPr>
                                <w:sz w:val="16"/>
                                <w:szCs w:val="16"/>
                              </w:rPr>
                              <w:t>3&gt;</w:t>
                            </w:r>
                            <w:r w:rsidRPr="000E44CD">
                              <w:rPr>
                                <w:sz w:val="16"/>
                                <w:szCs w:val="16"/>
                              </w:rPr>
                              <w:tab/>
                              <w:t xml:space="preserve">store handover failure information in </w:t>
                            </w:r>
                            <w:r w:rsidRPr="000E44CD">
                              <w:rPr>
                                <w:i/>
                                <w:sz w:val="16"/>
                                <w:szCs w:val="16"/>
                              </w:rPr>
                              <w:t>VarRLF-Report</w:t>
                            </w:r>
                            <w:r w:rsidRPr="000E44CD">
                              <w:rPr>
                                <w:iCs/>
                                <w:sz w:val="16"/>
                                <w:szCs w:val="16"/>
                              </w:rPr>
                              <w:t xml:space="preserve"> according to 5.3.10.5;</w:t>
                            </w:r>
                          </w:p>
                          <w:p w14:paraId="1DD47469" w14:textId="77777777" w:rsidR="001C1A34" w:rsidRPr="000E44CD" w:rsidRDefault="001C1A34" w:rsidP="001C1A34">
                            <w:pPr>
                              <w:pStyle w:val="B2"/>
                              <w:rPr>
                                <w:iCs/>
                                <w:sz w:val="16"/>
                                <w:szCs w:val="16"/>
                              </w:rPr>
                            </w:pPr>
                            <w:r w:rsidRPr="000E44CD">
                              <w:rPr>
                                <w:sz w:val="16"/>
                                <w:szCs w:val="16"/>
                              </w:rPr>
                              <w:t>2&gt;</w:t>
                            </w:r>
                            <w:r w:rsidRPr="000E44CD">
                              <w:rPr>
                                <w:sz w:val="16"/>
                                <w:szCs w:val="16"/>
                              </w:rPr>
                              <w:tab/>
                              <w:t xml:space="preserve">if </w:t>
                            </w:r>
                            <w:r w:rsidRPr="000E44CD">
                              <w:rPr>
                                <w:i/>
                                <w:iCs/>
                                <w:sz w:val="16"/>
                                <w:szCs w:val="16"/>
                              </w:rPr>
                              <w:t>voiceFallbackIndication</w:t>
                            </w:r>
                            <w:r w:rsidRPr="000E44CD">
                              <w:rPr>
                                <w:sz w:val="16"/>
                                <w:szCs w:val="16"/>
                              </w:rPr>
                              <w:t xml:space="preserve"> is included in the </w:t>
                            </w:r>
                            <w:r w:rsidRPr="000E44CD">
                              <w:rPr>
                                <w:i/>
                                <w:iCs/>
                                <w:sz w:val="16"/>
                                <w:szCs w:val="16"/>
                              </w:rPr>
                              <w:t>MobilityFromNRCommand</w:t>
                            </w:r>
                            <w:r w:rsidRPr="000E44CD">
                              <w:rPr>
                                <w:sz w:val="16"/>
                                <w:szCs w:val="16"/>
                              </w:rPr>
                              <w:t xml:space="preserve"> </w:t>
                            </w:r>
                            <w:r w:rsidRPr="000E44CD">
                              <w:rPr>
                                <w:iCs/>
                                <w:sz w:val="16"/>
                                <w:szCs w:val="16"/>
                              </w:rPr>
                              <w:t>message; or</w:t>
                            </w:r>
                          </w:p>
                          <w:p w14:paraId="7A82956A" w14:textId="77777777" w:rsidR="001C1A34" w:rsidRPr="000E44CD" w:rsidRDefault="001C1A34" w:rsidP="001C1A34">
                            <w:pPr>
                              <w:pStyle w:val="B2"/>
                              <w:rPr>
                                <w:sz w:val="16"/>
                                <w:szCs w:val="16"/>
                              </w:rPr>
                            </w:pPr>
                            <w:r w:rsidRPr="000E44CD">
                              <w:rPr>
                                <w:sz w:val="16"/>
                                <w:szCs w:val="16"/>
                              </w:rPr>
                              <w:t>2&gt;</w:t>
                            </w:r>
                            <w:r w:rsidRPr="000E44CD">
                              <w:rPr>
                                <w:sz w:val="16"/>
                                <w:szCs w:val="16"/>
                              </w:rPr>
                              <w:tab/>
                              <w:t>if the mobility from NR procedure is for emergency services fallback as specified in TS 23.502 [43]:</w:t>
                            </w:r>
                          </w:p>
                          <w:p w14:paraId="7EAB0954" w14:textId="77777777" w:rsidR="001C1A34" w:rsidRPr="000E44CD" w:rsidRDefault="001C1A34" w:rsidP="001C1A34">
                            <w:pPr>
                              <w:pStyle w:val="B3"/>
                              <w:rPr>
                                <w:sz w:val="16"/>
                                <w:szCs w:val="16"/>
                              </w:rPr>
                            </w:pPr>
                            <w:r w:rsidRPr="000E44CD">
                              <w:rPr>
                                <w:sz w:val="16"/>
                                <w:szCs w:val="16"/>
                              </w:rPr>
                              <w:t>3&gt;</w:t>
                            </w:r>
                            <w:r w:rsidRPr="000E44CD">
                              <w:rPr>
                                <w:sz w:val="16"/>
                                <w:szCs w:val="16"/>
                              </w:rPr>
                              <w:tab/>
                              <w:t>attempt to select an E-UTRA cell:</w:t>
                            </w:r>
                          </w:p>
                          <w:p w14:paraId="0291C53E" w14:textId="77777777" w:rsidR="001C1A34" w:rsidRPr="000E44CD" w:rsidRDefault="001C1A34" w:rsidP="001C1A34">
                            <w:pPr>
                              <w:pStyle w:val="B4"/>
                              <w:rPr>
                                <w:sz w:val="16"/>
                                <w:szCs w:val="16"/>
                              </w:rPr>
                            </w:pPr>
                            <w:r w:rsidRPr="000E44CD">
                              <w:rPr>
                                <w:sz w:val="16"/>
                                <w:szCs w:val="16"/>
                              </w:rPr>
                              <w:t>4&gt;</w:t>
                            </w:r>
                            <w:r w:rsidRPr="000E44CD">
                              <w:rPr>
                                <w:sz w:val="16"/>
                                <w:szCs w:val="16"/>
                              </w:rPr>
                              <w:tab/>
                              <w:t>if a suitable E-UTRA cell is selected; or</w:t>
                            </w:r>
                          </w:p>
                          <w:p w14:paraId="2D489A64" w14:textId="77777777" w:rsidR="001C1A34" w:rsidRPr="000E44CD" w:rsidRDefault="001C1A34" w:rsidP="001C1A34">
                            <w:pPr>
                              <w:pStyle w:val="B4"/>
                              <w:shd w:val="clear" w:color="auto" w:fill="FFFF00"/>
                              <w:rPr>
                                <w:sz w:val="16"/>
                                <w:szCs w:val="16"/>
                              </w:rPr>
                            </w:pPr>
                            <w:r w:rsidRPr="000E44CD">
                              <w:rPr>
                                <w:sz w:val="16"/>
                                <w:szCs w:val="16"/>
                              </w:rPr>
                              <w:t>4&gt;</w:t>
                            </w:r>
                            <w:r w:rsidRPr="000E44CD">
                              <w:rPr>
                                <w:sz w:val="16"/>
                                <w:szCs w:val="16"/>
                              </w:rPr>
                              <w:tab/>
                              <w:t>if no suitable E-UTRA cell is available and an acceptable E-UTRA cell supporting emergency call is selected when the UE has an ongoing emergency call:</w:t>
                            </w:r>
                          </w:p>
                          <w:p w14:paraId="5557B104" w14:textId="77777777" w:rsidR="001C1A34" w:rsidRPr="000E44CD" w:rsidRDefault="001C1A34" w:rsidP="001C1A34">
                            <w:pPr>
                              <w:pStyle w:val="B5"/>
                              <w:rPr>
                                <w:rFonts w:eastAsia="Batang"/>
                                <w:sz w:val="16"/>
                                <w:szCs w:val="16"/>
                              </w:rPr>
                            </w:pPr>
                            <w:r w:rsidRPr="000E44CD">
                              <w:rPr>
                                <w:sz w:val="16"/>
                                <w:szCs w:val="16"/>
                              </w:rPr>
                              <w:t>5&gt;</w:t>
                            </w:r>
                            <w:r w:rsidRPr="000E44CD">
                              <w:rPr>
                                <w:sz w:val="16"/>
                                <w:szCs w:val="16"/>
                              </w:rPr>
                              <w:tab/>
                              <w:t>perform the actions upon going to RRC_IDLE as specified in 5.3.11, with release cause 'RRC connection failure';</w:t>
                            </w:r>
                          </w:p>
                          <w:p w14:paraId="202ECA43" w14:textId="77777777" w:rsidR="001C1A34" w:rsidRDefault="001C1A34" w:rsidP="001C1A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9BFDAD" id="_x0000_t202" coordsize="21600,21600" o:spt="202" path="m,l,21600r21600,l21600,xe">
                <v:stroke joinstyle="miter"/>
                <v:path gradientshapeok="t" o:connecttype="rect"/>
              </v:shapetype>
              <v:shape id="Text Box 1" o:spid="_x0000_s1026" type="#_x0000_t202" style="position:absolute;left:0;text-align:left;margin-left:24.5pt;margin-top:5.1pt;width:432.85pt;height:214.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zXaOQIAAH0EAAAOAAAAZHJzL2Uyb0RvYy54bWysVN+P2jAMfp+0/yHK+yh0cHAV5cQ4MU1C&#10;dydx0z2HNKHV0jhLAi376+eE8uu2p2kvqR07n+3PdqcPba3IXlhXgc7poNenRGgORaW3Of3+uvw0&#10;ocR5pgumQIucHoSjD7OPH6aNyUQKJahCWIIg2mWNyWnpvcmSxPFS1Mz1wAiNRgm2Zh5Vu00KyxpE&#10;r1WS9vt3SQO2MBa4cA5vH49GOov4Ugrun6V0whOVU8zNx9PGcxPOZDZl2dYyU1a8S4P9QxY1qzQG&#10;PUM9Ms/IzlZ/QNUVt+BA+h6HOgEpKy5iDVjNoP+umnXJjIi1IDnOnGly/w+WP+3X5sUS336BFhsY&#10;CGmMyxxehnpaaevwxUwJ2pHCw5k20XrC8XI0vB8PRthojrZ0nKaTSSQ2uTw31vmvAmoShJxa7Euk&#10;i+1XzmNIdD25hGgOVFUsK6WiEmZBLJQle4ZdVD4miS9uvJQmTU7vPo/6EfjGFqDP7zeK8R+hzFsE&#10;1JTGy0vxQfLtpu0Y2UBxQKIsHGfIGb6sEHfFnH9hFocGucFF8M94SAWYDHQSJSXYX3+7D/7YS7RS&#10;0uAQ5tT93DErKFHfNHb5fjAchqmNynA0TlGx15bNtUXv6gUgQwNcOcOjGPy9OonSQv2G+zIPUdHE&#10;NMfYOfUnceGPq4H7xsV8Hp1wTg3zK702PECHjgQ+X9s3Zk3XT4+j8ASncWXZu7YefcNLDfOdB1nF&#10;ngeCj6x2vOOMx7Z0+xiW6FqPXpe/xuw3AAAA//8DAFBLAwQUAAYACAAAACEAOA1b4tsAAAAJAQAA&#10;DwAAAGRycy9kb3ducmV2LnhtbEyPwU7DMAyG70i8Q2QkbizdmKAtTSdAgwunDcTZa7I0onGqJOvK&#10;22NOcLQ/6/f3N5vZD2IyMblACpaLAoShLmhHVsHH+8tNCSJlJI1DIKPg2yTYtJcXDdY6nGlnpn22&#10;gkMo1aigz3mspUxdbzymRRgNMTuG6DHzGK3UEc8c7ge5Koo76dERf+hxNM+96b72J69g+2Qr25UY&#10;+22pnZvmz+ObfVXq+mp+fACRzZz/juFXn9WhZadDOJFOYlCwrrhK5n2xAsG8Wq7vQRwY3DKRbSP/&#10;N2h/AAAA//8DAFBLAQItABQABgAIAAAAIQC2gziS/gAAAOEBAAATAAAAAAAAAAAAAAAAAAAAAABb&#10;Q29udGVudF9UeXBlc10ueG1sUEsBAi0AFAAGAAgAAAAhADj9If/WAAAAlAEAAAsAAAAAAAAAAAAA&#10;AAAALwEAAF9yZWxzLy5yZWxzUEsBAi0AFAAGAAgAAAAhADs7Ndo5AgAAfQQAAA4AAAAAAAAAAAAA&#10;AAAALgIAAGRycy9lMm9Eb2MueG1sUEsBAi0AFAAGAAgAAAAhADgNW+LbAAAACQEAAA8AAAAAAAAA&#10;AAAAAAAAkwQAAGRycy9kb3ducmV2LnhtbFBLBQYAAAAABAAEAPMAAACbBQAAAAA=&#10;" fillcolor="white [3201]" strokeweight=".5pt">
                <v:textbox>
                  <w:txbxContent>
                    <w:p w14:paraId="4C3C8AF8" w14:textId="77777777" w:rsidR="001C1A34" w:rsidRPr="000E44CD" w:rsidRDefault="001C1A34" w:rsidP="001C1A34">
                      <w:pPr>
                        <w:pStyle w:val="Heading4"/>
                        <w:rPr>
                          <w:sz w:val="21"/>
                          <w:szCs w:val="16"/>
                        </w:rPr>
                      </w:pPr>
                      <w:bookmarkStart w:id="4" w:name="_Toc60776864"/>
                      <w:bookmarkStart w:id="5" w:name="_Toc124712726"/>
                      <w:r w:rsidRPr="000E44CD">
                        <w:rPr>
                          <w:sz w:val="21"/>
                          <w:szCs w:val="16"/>
                        </w:rPr>
                        <w:t>5.4.3.5</w:t>
                      </w:r>
                      <w:r w:rsidRPr="000E44CD">
                        <w:rPr>
                          <w:sz w:val="21"/>
                          <w:szCs w:val="16"/>
                        </w:rPr>
                        <w:tab/>
                        <w:t>Mobility from NR failure</w:t>
                      </w:r>
                      <w:bookmarkEnd w:id="4"/>
                      <w:bookmarkEnd w:id="5"/>
                    </w:p>
                    <w:p w14:paraId="49AC2748" w14:textId="77777777" w:rsidR="001C1A34" w:rsidRPr="000E44CD" w:rsidRDefault="001C1A34" w:rsidP="001C1A34">
                      <w:pPr>
                        <w:rPr>
                          <w:sz w:val="16"/>
                          <w:szCs w:val="16"/>
                        </w:rPr>
                      </w:pPr>
                      <w:r w:rsidRPr="000E44CD">
                        <w:rPr>
                          <w:sz w:val="16"/>
                          <w:szCs w:val="16"/>
                        </w:rPr>
                        <w:t>The UE shall:</w:t>
                      </w:r>
                    </w:p>
                    <w:p w14:paraId="6C6BD12A" w14:textId="77777777" w:rsidR="001C1A34" w:rsidRPr="000E44CD" w:rsidRDefault="001C1A34" w:rsidP="001C1A34">
                      <w:pPr>
                        <w:pStyle w:val="B1"/>
                        <w:rPr>
                          <w:sz w:val="16"/>
                          <w:szCs w:val="16"/>
                        </w:rPr>
                      </w:pPr>
                      <w:r w:rsidRPr="000E44CD">
                        <w:rPr>
                          <w:sz w:val="16"/>
                          <w:szCs w:val="16"/>
                        </w:rPr>
                        <w:t>1&gt;</w:t>
                      </w:r>
                      <w:r w:rsidRPr="000E44CD">
                        <w:rPr>
                          <w:sz w:val="16"/>
                          <w:szCs w:val="16"/>
                        </w:rPr>
                        <w:tab/>
                        <w:t>if the UE does not succeed in establishing the connection to the target radio access technology:</w:t>
                      </w:r>
                    </w:p>
                    <w:p w14:paraId="7F443A8E" w14:textId="77777777" w:rsidR="001C1A34" w:rsidRPr="000E44CD" w:rsidRDefault="001C1A34" w:rsidP="001C1A34">
                      <w:pPr>
                        <w:pStyle w:val="B2"/>
                        <w:rPr>
                          <w:sz w:val="16"/>
                          <w:szCs w:val="16"/>
                        </w:rPr>
                      </w:pPr>
                      <w:r w:rsidRPr="000E44CD">
                        <w:rPr>
                          <w:sz w:val="16"/>
                          <w:szCs w:val="16"/>
                        </w:rPr>
                        <w:t>2&gt;</w:t>
                      </w:r>
                      <w:r w:rsidRPr="000E44CD">
                        <w:rPr>
                          <w:sz w:val="16"/>
                          <w:szCs w:val="16"/>
                        </w:rPr>
                        <w:tab/>
                        <w:t xml:space="preserve">if the </w:t>
                      </w:r>
                      <w:r w:rsidRPr="000E44CD">
                        <w:rPr>
                          <w:i/>
                          <w:sz w:val="16"/>
                          <w:szCs w:val="16"/>
                        </w:rPr>
                        <w:t>targetRAT-Type</w:t>
                      </w:r>
                      <w:r w:rsidRPr="000E44CD">
                        <w:rPr>
                          <w:sz w:val="16"/>
                          <w:szCs w:val="16"/>
                        </w:rPr>
                        <w:t xml:space="preserve"> in the received </w:t>
                      </w:r>
                      <w:r w:rsidRPr="000E44CD">
                        <w:rPr>
                          <w:i/>
                          <w:sz w:val="16"/>
                          <w:szCs w:val="16"/>
                        </w:rPr>
                        <w:t>MobilityFromNRCommand</w:t>
                      </w:r>
                      <w:r w:rsidRPr="000E44CD">
                        <w:rPr>
                          <w:sz w:val="16"/>
                          <w:szCs w:val="16"/>
                        </w:rPr>
                        <w:t xml:space="preserve"> is set to </w:t>
                      </w:r>
                      <w:r w:rsidRPr="000E44CD">
                        <w:rPr>
                          <w:i/>
                          <w:sz w:val="16"/>
                          <w:szCs w:val="16"/>
                        </w:rPr>
                        <w:t>eutra</w:t>
                      </w:r>
                      <w:r w:rsidRPr="000E44CD">
                        <w:rPr>
                          <w:sz w:val="16"/>
                          <w:szCs w:val="16"/>
                        </w:rPr>
                        <w:t xml:space="preserve"> and the UE supports Radio Link Failure Report for Inter-RAT MRO EUTRA:</w:t>
                      </w:r>
                    </w:p>
                    <w:p w14:paraId="778754FD" w14:textId="77777777" w:rsidR="001C1A34" w:rsidRPr="000E44CD" w:rsidRDefault="001C1A34" w:rsidP="001C1A34">
                      <w:pPr>
                        <w:pStyle w:val="B3"/>
                        <w:rPr>
                          <w:sz w:val="16"/>
                          <w:szCs w:val="16"/>
                        </w:rPr>
                      </w:pPr>
                      <w:r w:rsidRPr="000E44CD">
                        <w:rPr>
                          <w:sz w:val="16"/>
                          <w:szCs w:val="16"/>
                        </w:rPr>
                        <w:t>3&gt;</w:t>
                      </w:r>
                      <w:r w:rsidRPr="000E44CD">
                        <w:rPr>
                          <w:sz w:val="16"/>
                          <w:szCs w:val="16"/>
                        </w:rPr>
                        <w:tab/>
                        <w:t xml:space="preserve">store handover failure information in </w:t>
                      </w:r>
                      <w:r w:rsidRPr="000E44CD">
                        <w:rPr>
                          <w:i/>
                          <w:sz w:val="16"/>
                          <w:szCs w:val="16"/>
                        </w:rPr>
                        <w:t>VarRLF-Report</w:t>
                      </w:r>
                      <w:r w:rsidRPr="000E44CD">
                        <w:rPr>
                          <w:iCs/>
                          <w:sz w:val="16"/>
                          <w:szCs w:val="16"/>
                        </w:rPr>
                        <w:t xml:space="preserve"> according to 5.3.10.5;</w:t>
                      </w:r>
                    </w:p>
                    <w:p w14:paraId="1DD47469" w14:textId="77777777" w:rsidR="001C1A34" w:rsidRPr="000E44CD" w:rsidRDefault="001C1A34" w:rsidP="001C1A34">
                      <w:pPr>
                        <w:pStyle w:val="B2"/>
                        <w:rPr>
                          <w:iCs/>
                          <w:sz w:val="16"/>
                          <w:szCs w:val="16"/>
                        </w:rPr>
                      </w:pPr>
                      <w:r w:rsidRPr="000E44CD">
                        <w:rPr>
                          <w:sz w:val="16"/>
                          <w:szCs w:val="16"/>
                        </w:rPr>
                        <w:t>2&gt;</w:t>
                      </w:r>
                      <w:r w:rsidRPr="000E44CD">
                        <w:rPr>
                          <w:sz w:val="16"/>
                          <w:szCs w:val="16"/>
                        </w:rPr>
                        <w:tab/>
                        <w:t xml:space="preserve">if </w:t>
                      </w:r>
                      <w:r w:rsidRPr="000E44CD">
                        <w:rPr>
                          <w:i/>
                          <w:iCs/>
                          <w:sz w:val="16"/>
                          <w:szCs w:val="16"/>
                        </w:rPr>
                        <w:t>voiceFallbackIndication</w:t>
                      </w:r>
                      <w:r w:rsidRPr="000E44CD">
                        <w:rPr>
                          <w:sz w:val="16"/>
                          <w:szCs w:val="16"/>
                        </w:rPr>
                        <w:t xml:space="preserve"> is included in the </w:t>
                      </w:r>
                      <w:r w:rsidRPr="000E44CD">
                        <w:rPr>
                          <w:i/>
                          <w:iCs/>
                          <w:sz w:val="16"/>
                          <w:szCs w:val="16"/>
                        </w:rPr>
                        <w:t>MobilityFromNRCommand</w:t>
                      </w:r>
                      <w:r w:rsidRPr="000E44CD">
                        <w:rPr>
                          <w:sz w:val="16"/>
                          <w:szCs w:val="16"/>
                        </w:rPr>
                        <w:t xml:space="preserve"> </w:t>
                      </w:r>
                      <w:r w:rsidRPr="000E44CD">
                        <w:rPr>
                          <w:iCs/>
                          <w:sz w:val="16"/>
                          <w:szCs w:val="16"/>
                        </w:rPr>
                        <w:t>message; or</w:t>
                      </w:r>
                    </w:p>
                    <w:p w14:paraId="7A82956A" w14:textId="77777777" w:rsidR="001C1A34" w:rsidRPr="000E44CD" w:rsidRDefault="001C1A34" w:rsidP="001C1A34">
                      <w:pPr>
                        <w:pStyle w:val="B2"/>
                        <w:rPr>
                          <w:sz w:val="16"/>
                          <w:szCs w:val="16"/>
                        </w:rPr>
                      </w:pPr>
                      <w:r w:rsidRPr="000E44CD">
                        <w:rPr>
                          <w:sz w:val="16"/>
                          <w:szCs w:val="16"/>
                        </w:rPr>
                        <w:t>2&gt;</w:t>
                      </w:r>
                      <w:r w:rsidRPr="000E44CD">
                        <w:rPr>
                          <w:sz w:val="16"/>
                          <w:szCs w:val="16"/>
                        </w:rPr>
                        <w:tab/>
                        <w:t>if the mobility from NR procedure is for emergency services fallback as specified in TS 23.502 [43]:</w:t>
                      </w:r>
                    </w:p>
                    <w:p w14:paraId="7EAB0954" w14:textId="77777777" w:rsidR="001C1A34" w:rsidRPr="000E44CD" w:rsidRDefault="001C1A34" w:rsidP="001C1A34">
                      <w:pPr>
                        <w:pStyle w:val="B3"/>
                        <w:rPr>
                          <w:sz w:val="16"/>
                          <w:szCs w:val="16"/>
                        </w:rPr>
                      </w:pPr>
                      <w:r w:rsidRPr="000E44CD">
                        <w:rPr>
                          <w:sz w:val="16"/>
                          <w:szCs w:val="16"/>
                        </w:rPr>
                        <w:t>3&gt;</w:t>
                      </w:r>
                      <w:r w:rsidRPr="000E44CD">
                        <w:rPr>
                          <w:sz w:val="16"/>
                          <w:szCs w:val="16"/>
                        </w:rPr>
                        <w:tab/>
                        <w:t>attempt to select an E-UTRA cell:</w:t>
                      </w:r>
                    </w:p>
                    <w:p w14:paraId="0291C53E" w14:textId="77777777" w:rsidR="001C1A34" w:rsidRPr="000E44CD" w:rsidRDefault="001C1A34" w:rsidP="001C1A34">
                      <w:pPr>
                        <w:pStyle w:val="B4"/>
                        <w:rPr>
                          <w:sz w:val="16"/>
                          <w:szCs w:val="16"/>
                        </w:rPr>
                      </w:pPr>
                      <w:r w:rsidRPr="000E44CD">
                        <w:rPr>
                          <w:sz w:val="16"/>
                          <w:szCs w:val="16"/>
                        </w:rPr>
                        <w:t>4&gt;</w:t>
                      </w:r>
                      <w:r w:rsidRPr="000E44CD">
                        <w:rPr>
                          <w:sz w:val="16"/>
                          <w:szCs w:val="16"/>
                        </w:rPr>
                        <w:tab/>
                        <w:t>if a suitable E-UTRA cell is selected; or</w:t>
                      </w:r>
                    </w:p>
                    <w:p w14:paraId="2D489A64" w14:textId="77777777" w:rsidR="001C1A34" w:rsidRPr="000E44CD" w:rsidRDefault="001C1A34" w:rsidP="001C1A34">
                      <w:pPr>
                        <w:pStyle w:val="B4"/>
                        <w:shd w:val="clear" w:color="auto" w:fill="FFFF00"/>
                        <w:rPr>
                          <w:sz w:val="16"/>
                          <w:szCs w:val="16"/>
                        </w:rPr>
                      </w:pPr>
                      <w:r w:rsidRPr="000E44CD">
                        <w:rPr>
                          <w:sz w:val="16"/>
                          <w:szCs w:val="16"/>
                        </w:rPr>
                        <w:t>4&gt;</w:t>
                      </w:r>
                      <w:r w:rsidRPr="000E44CD">
                        <w:rPr>
                          <w:sz w:val="16"/>
                          <w:szCs w:val="16"/>
                        </w:rPr>
                        <w:tab/>
                        <w:t>if no suitable E-UTRA cell is available and an acceptable E-UTRA cell supporting emergency call is selected when the UE has an ongoing emergency call:</w:t>
                      </w:r>
                    </w:p>
                    <w:p w14:paraId="5557B104" w14:textId="77777777" w:rsidR="001C1A34" w:rsidRPr="000E44CD" w:rsidRDefault="001C1A34" w:rsidP="001C1A34">
                      <w:pPr>
                        <w:pStyle w:val="B5"/>
                        <w:rPr>
                          <w:rFonts w:eastAsia="Batang"/>
                          <w:sz w:val="16"/>
                          <w:szCs w:val="16"/>
                        </w:rPr>
                      </w:pPr>
                      <w:r w:rsidRPr="000E44CD">
                        <w:rPr>
                          <w:sz w:val="16"/>
                          <w:szCs w:val="16"/>
                        </w:rPr>
                        <w:t>5&gt;</w:t>
                      </w:r>
                      <w:r w:rsidRPr="000E44CD">
                        <w:rPr>
                          <w:sz w:val="16"/>
                          <w:szCs w:val="16"/>
                        </w:rPr>
                        <w:tab/>
                        <w:t>perform the actions upon going to RRC_IDLE as specified in 5.3.11, with release cause 'RRC connection failure';</w:t>
                      </w:r>
                    </w:p>
                    <w:p w14:paraId="202ECA43" w14:textId="77777777" w:rsidR="001C1A34" w:rsidRDefault="001C1A34" w:rsidP="001C1A34"/>
                  </w:txbxContent>
                </v:textbox>
              </v:shape>
            </w:pict>
          </mc:Fallback>
        </mc:AlternateContent>
      </w:r>
    </w:p>
    <w:p w14:paraId="04F130BA" w14:textId="77777777" w:rsidR="001C1A34" w:rsidRDefault="001C1A34" w:rsidP="001C1A34">
      <w:pPr>
        <w:jc w:val="both"/>
        <w:rPr>
          <w:rFonts w:ascii="Arial" w:hAnsi="Arial" w:cs="Arial"/>
          <w:lang w:val="en-US"/>
        </w:rPr>
      </w:pPr>
    </w:p>
    <w:p w14:paraId="33E6F676" w14:textId="77777777" w:rsidR="001C1A34" w:rsidRDefault="001C1A34" w:rsidP="001C1A34">
      <w:pPr>
        <w:jc w:val="both"/>
        <w:rPr>
          <w:rFonts w:ascii="Arial" w:hAnsi="Arial" w:cs="Arial"/>
          <w:lang w:val="en-US"/>
        </w:rPr>
      </w:pPr>
    </w:p>
    <w:p w14:paraId="3E89CAC2" w14:textId="77777777" w:rsidR="001C1A34" w:rsidRDefault="001C1A34" w:rsidP="001C1A34">
      <w:pPr>
        <w:jc w:val="both"/>
        <w:rPr>
          <w:rFonts w:ascii="Arial" w:hAnsi="Arial" w:cs="Arial"/>
          <w:lang w:val="en-US"/>
        </w:rPr>
      </w:pPr>
    </w:p>
    <w:p w14:paraId="47344FAA" w14:textId="77777777" w:rsidR="001C1A34" w:rsidRDefault="001C1A34" w:rsidP="001C1A34">
      <w:pPr>
        <w:jc w:val="both"/>
        <w:rPr>
          <w:rFonts w:ascii="Arial" w:hAnsi="Arial" w:cs="Arial"/>
          <w:lang w:val="en-US"/>
        </w:rPr>
      </w:pPr>
    </w:p>
    <w:p w14:paraId="3CE108C5" w14:textId="77777777" w:rsidR="001C1A34" w:rsidRDefault="001C1A34" w:rsidP="001C1A34">
      <w:pPr>
        <w:jc w:val="both"/>
        <w:rPr>
          <w:rFonts w:ascii="Arial" w:hAnsi="Arial" w:cs="Arial"/>
          <w:lang w:val="en-US"/>
        </w:rPr>
      </w:pPr>
    </w:p>
    <w:p w14:paraId="201A4981" w14:textId="77777777" w:rsidR="001C1A34" w:rsidRDefault="001C1A34" w:rsidP="001C1A34">
      <w:pPr>
        <w:jc w:val="both"/>
        <w:rPr>
          <w:rFonts w:ascii="Arial" w:hAnsi="Arial" w:cs="Arial"/>
          <w:lang w:val="en-US"/>
        </w:rPr>
      </w:pPr>
    </w:p>
    <w:p w14:paraId="2B82AED5" w14:textId="77777777" w:rsidR="001C1A34" w:rsidRDefault="001C1A34" w:rsidP="001C1A34">
      <w:pPr>
        <w:jc w:val="both"/>
        <w:rPr>
          <w:rFonts w:ascii="Arial" w:hAnsi="Arial" w:cs="Arial"/>
          <w:lang w:val="en-US"/>
        </w:rPr>
      </w:pPr>
    </w:p>
    <w:p w14:paraId="4F79FA78" w14:textId="77777777" w:rsidR="001C1A34" w:rsidRDefault="001C1A34" w:rsidP="001C1A34">
      <w:pPr>
        <w:jc w:val="both"/>
        <w:rPr>
          <w:rFonts w:ascii="Arial" w:hAnsi="Arial" w:cs="Arial"/>
          <w:lang w:val="en-US"/>
        </w:rPr>
      </w:pPr>
    </w:p>
    <w:p w14:paraId="158AA650" w14:textId="77777777" w:rsidR="001C1A34" w:rsidRDefault="001C1A34" w:rsidP="001C1A34">
      <w:pPr>
        <w:jc w:val="both"/>
        <w:rPr>
          <w:rFonts w:ascii="Arial" w:hAnsi="Arial" w:cs="Arial"/>
          <w:lang w:val="en-US"/>
        </w:rPr>
      </w:pPr>
    </w:p>
    <w:p w14:paraId="031B00F1" w14:textId="77777777" w:rsidR="001C1A34" w:rsidRDefault="001C1A34" w:rsidP="001C1A34">
      <w:pPr>
        <w:jc w:val="both"/>
        <w:rPr>
          <w:rFonts w:ascii="Arial" w:hAnsi="Arial" w:cs="Arial"/>
          <w:lang w:val="en-US"/>
        </w:rPr>
      </w:pPr>
    </w:p>
    <w:p w14:paraId="3DFFC1AB" w14:textId="77777777" w:rsidR="001C1A34" w:rsidRDefault="001C1A34" w:rsidP="001C1A34">
      <w:pPr>
        <w:jc w:val="both"/>
        <w:rPr>
          <w:rFonts w:ascii="Arial" w:hAnsi="Arial" w:cs="Arial"/>
          <w:lang w:val="en-US"/>
        </w:rPr>
      </w:pPr>
    </w:p>
    <w:p w14:paraId="17B585BB" w14:textId="77777777" w:rsidR="001C1A34" w:rsidRDefault="001C1A34" w:rsidP="001C1A34">
      <w:pPr>
        <w:jc w:val="both"/>
        <w:rPr>
          <w:rFonts w:ascii="Arial" w:hAnsi="Arial" w:cs="Arial"/>
          <w:lang w:val="en-US"/>
        </w:rPr>
      </w:pPr>
      <w:r>
        <w:rPr>
          <w:rFonts w:ascii="Arial" w:hAnsi="Arial" w:cs="Arial"/>
          <w:lang w:val="en-US"/>
        </w:rPr>
        <w:t>According to the above procedural text, for emergency calls and for scenarios in which the UE does not find a suitable cell (upon MobilityFromNR failure), the UE can reselect an acceptable cell to continue the emergency calls. In such scenarios, according to the solution designed for the RLF in case of voice fallback failure the UE includes the selected EUTRA cell ID in the RLF report (as part of reconnectCellID). This cell ID will be later used for the next MobilityFromNR related handovers from NR to LTE. This will become misleading for the failure analysis, since an acceptable EUTRA cell would not be a good target for the next handover for the UEs with regular MTSI service (not emergency calls).</w:t>
      </w:r>
    </w:p>
    <w:p w14:paraId="29D821CA" w14:textId="77777777" w:rsidR="001C1A34" w:rsidRPr="00715F1F" w:rsidRDefault="001C1A34" w:rsidP="001C1A34">
      <w:pPr>
        <w:pStyle w:val="Observation"/>
        <w:rPr>
          <w:lang w:val="en-US"/>
        </w:rPr>
      </w:pPr>
      <w:bookmarkStart w:id="4" w:name="_Toc134720841"/>
      <w:r>
        <w:rPr>
          <w:lang w:val="en-US"/>
        </w:rPr>
        <w:t>UE may select an acceptable cell after failure in mobility from NR if no suitable EUTRA cell is found for an ongoing emergency call.</w:t>
      </w:r>
      <w:bookmarkEnd w:id="4"/>
    </w:p>
    <w:p w14:paraId="63950777" w14:textId="77777777" w:rsidR="001C1A34" w:rsidRDefault="001C1A34" w:rsidP="001C1A34">
      <w:pPr>
        <w:jc w:val="center"/>
        <w:rPr>
          <w:rFonts w:ascii="Arial" w:hAnsi="Arial" w:cs="Arial"/>
          <w:lang w:val="en-US"/>
        </w:rPr>
      </w:pPr>
    </w:p>
    <w:p w14:paraId="674C4C33" w14:textId="59A0D7EF" w:rsidR="001C1A34" w:rsidRDefault="001C1A34" w:rsidP="001C1A34">
      <w:pPr>
        <w:pStyle w:val="Observation"/>
        <w:rPr>
          <w:lang w:val="en-US"/>
        </w:rPr>
      </w:pPr>
      <w:bookmarkStart w:id="5" w:name="_Toc127441940"/>
      <w:bookmarkStart w:id="6" w:name="_Toc134720842"/>
      <w:r>
        <w:rPr>
          <w:lang w:val="en-US"/>
        </w:rPr>
        <w:t>Not</w:t>
      </w:r>
      <w:r w:rsidRPr="00D14B32">
        <w:rPr>
          <w:lang w:val="en-US"/>
        </w:rPr>
        <w:t xml:space="preserve"> </w:t>
      </w:r>
      <w:r>
        <w:rPr>
          <w:lang w:val="en-US"/>
        </w:rPr>
        <w:t>differentiating</w:t>
      </w:r>
      <w:r w:rsidRPr="00D14B32">
        <w:rPr>
          <w:lang w:val="en-US"/>
        </w:rPr>
        <w:t xml:space="preserve"> acceptable </w:t>
      </w:r>
      <w:r>
        <w:rPr>
          <w:lang w:val="en-US"/>
        </w:rPr>
        <w:t>cell from</w:t>
      </w:r>
      <w:r w:rsidRPr="00D14B32">
        <w:rPr>
          <w:lang w:val="en-US"/>
        </w:rPr>
        <w:t xml:space="preserve"> suitable cell</w:t>
      </w:r>
      <w:r>
        <w:rPr>
          <w:lang w:val="en-US"/>
        </w:rPr>
        <w:t xml:space="preserve"> that UE connected to after the failure,</w:t>
      </w:r>
      <w:r w:rsidRPr="00D14B32">
        <w:rPr>
          <w:lang w:val="en-US"/>
        </w:rPr>
        <w:t xml:space="preserve"> </w:t>
      </w:r>
      <w:r>
        <w:rPr>
          <w:lang w:val="en-US"/>
        </w:rPr>
        <w:t>in the RLF report, can</w:t>
      </w:r>
      <w:r w:rsidRPr="00D14B32">
        <w:rPr>
          <w:lang w:val="en-US"/>
        </w:rPr>
        <w:t xml:space="preserve"> mislead the network</w:t>
      </w:r>
      <w:r>
        <w:rPr>
          <w:lang w:val="en-US"/>
        </w:rPr>
        <w:t xml:space="preserve"> to conclude that an acceptable cell can be a candidate for the next handovers </w:t>
      </w:r>
      <w:r w:rsidR="0023660F">
        <w:rPr>
          <w:lang w:val="en-US"/>
        </w:rPr>
        <w:t>(as it would do for a suitable cell)</w:t>
      </w:r>
      <w:r>
        <w:rPr>
          <w:lang w:val="en-US"/>
        </w:rPr>
        <w:t>.</w:t>
      </w:r>
      <w:bookmarkEnd w:id="5"/>
      <w:bookmarkEnd w:id="6"/>
    </w:p>
    <w:p w14:paraId="751436E9" w14:textId="77777777" w:rsidR="001C1A34" w:rsidRDefault="001C1A34" w:rsidP="001C1A34">
      <w:pPr>
        <w:jc w:val="both"/>
        <w:rPr>
          <w:rFonts w:ascii="Arial" w:hAnsi="Arial" w:cs="Arial"/>
          <w:lang w:val="en-US"/>
        </w:rPr>
      </w:pPr>
    </w:p>
    <w:p w14:paraId="238B888D" w14:textId="77777777" w:rsidR="001C1A34" w:rsidRDefault="001C1A34" w:rsidP="001C1A34">
      <w:pPr>
        <w:jc w:val="both"/>
        <w:rPr>
          <w:rFonts w:ascii="Arial" w:hAnsi="Arial" w:cs="Arial"/>
          <w:lang w:val="en-US"/>
        </w:rPr>
      </w:pPr>
      <w:r>
        <w:rPr>
          <w:rFonts w:ascii="Arial" w:hAnsi="Arial" w:cs="Arial"/>
          <w:lang w:val="en-US"/>
        </w:rPr>
        <w:t>Therefore, we propose to enable the network to differentiate the suitable cells from the acceptable cells based on the RLF report content to avoid misleading conclusions. This assists the network to treat the selected acceptable cells differently from the suitable cells enhancing the network insight on the UE behavior.</w:t>
      </w:r>
    </w:p>
    <w:p w14:paraId="3B023F19" w14:textId="77777777" w:rsidR="001C1A34" w:rsidRPr="00715F1F" w:rsidRDefault="001C1A34" w:rsidP="001C1A34">
      <w:pPr>
        <w:pStyle w:val="Observation"/>
        <w:numPr>
          <w:ilvl w:val="0"/>
          <w:numId w:val="0"/>
        </w:numPr>
        <w:ind w:left="360"/>
        <w:rPr>
          <w:lang w:val="en-US"/>
        </w:rPr>
      </w:pPr>
    </w:p>
    <w:p w14:paraId="603B6C8F" w14:textId="77777777" w:rsidR="001C1A34" w:rsidRPr="00187F4C" w:rsidRDefault="001C1A34" w:rsidP="001C1A34">
      <w:pPr>
        <w:pStyle w:val="Proposal"/>
        <w:rPr>
          <w:rFonts w:cs="Arial"/>
          <w:lang w:val="en-US"/>
        </w:rPr>
      </w:pPr>
      <w:bookmarkStart w:id="7" w:name="_Toc127437339"/>
      <w:bookmarkStart w:id="8" w:name="_Toc134720863"/>
      <w:r>
        <w:t>RAN2 agree to differentiate an acceptable cell from a suitable cell in the RLF report in case of mobility from NR failure.</w:t>
      </w:r>
      <w:bookmarkEnd w:id="7"/>
      <w:bookmarkEnd w:id="8"/>
      <w:r>
        <w:t xml:space="preserve"> </w:t>
      </w:r>
    </w:p>
    <w:p w14:paraId="62C098EB" w14:textId="77777777" w:rsidR="001C1A34" w:rsidRDefault="001C1A34" w:rsidP="001C1A34">
      <w:pPr>
        <w:jc w:val="both"/>
        <w:rPr>
          <w:rFonts w:ascii="Arial" w:hAnsi="Arial" w:cs="Arial"/>
          <w:lang w:val="en-US"/>
        </w:rPr>
      </w:pPr>
    </w:p>
    <w:p w14:paraId="11B74997" w14:textId="3A51D3DD" w:rsidR="001C1A34" w:rsidRDefault="001C1A34" w:rsidP="001C1A34">
      <w:pPr>
        <w:jc w:val="both"/>
        <w:rPr>
          <w:rFonts w:ascii="Arial" w:hAnsi="Arial" w:cs="Arial"/>
        </w:rPr>
      </w:pPr>
      <w:r w:rsidRPr="00E65730">
        <w:rPr>
          <w:rFonts w:ascii="Arial" w:hAnsi="Arial" w:cs="Arial"/>
          <w:lang w:val="en-US"/>
        </w:rPr>
        <w:lastRenderedPageBreak/>
        <w:t xml:space="preserve">Furthermore, if proposal 1 is accepted, the next FFS is regarding implicit or explicit indication. </w:t>
      </w:r>
      <w:r>
        <w:rPr>
          <w:rFonts w:ascii="Arial" w:hAnsi="Arial" w:cs="Arial"/>
          <w:lang w:val="en-US"/>
        </w:rPr>
        <w:t xml:space="preserve">Some companies point out that UE can set the </w:t>
      </w:r>
      <w:r w:rsidRPr="00D629AA">
        <w:rPr>
          <w:i/>
          <w:iCs/>
        </w:rPr>
        <w:t>noSuitableCellFound</w:t>
      </w:r>
      <w:r>
        <w:t xml:space="preserve"> </w:t>
      </w:r>
      <w:r>
        <w:rPr>
          <w:rFonts w:ascii="Arial" w:hAnsi="Arial" w:cs="Arial"/>
        </w:rPr>
        <w:t>flag in the RLF report. However, some ambiguities remain in the below scenario-</w:t>
      </w:r>
    </w:p>
    <w:p w14:paraId="3F8ECDA5" w14:textId="77777777" w:rsidR="001C1A34" w:rsidRPr="00E65730" w:rsidRDefault="001C1A34" w:rsidP="001C1A34">
      <w:pPr>
        <w:jc w:val="both"/>
        <w:rPr>
          <w:rFonts w:ascii="Arial" w:hAnsi="Arial" w:cs="Arial"/>
          <w:lang w:val="en-US"/>
        </w:rPr>
      </w:pPr>
      <w:r>
        <w:rPr>
          <w:rFonts w:ascii="Arial" w:hAnsi="Arial" w:cs="Arial"/>
          <w:noProof/>
          <w:lang w:val="en-US"/>
        </w:rPr>
        <w:drawing>
          <wp:inline distT="0" distB="0" distL="0" distR="0" wp14:anchorId="09576D7B" wp14:editId="78A070C4">
            <wp:extent cx="6120765" cy="2200275"/>
            <wp:effectExtent l="0" t="0" r="0" b="9525"/>
            <wp:docPr id="2" name="Picture 2"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medium confidence"/>
                    <pic:cNvPicPr/>
                  </pic:nvPicPr>
                  <pic:blipFill rotWithShape="1">
                    <a:blip r:embed="rId8">
                      <a:extLst>
                        <a:ext uri="{28A0092B-C50C-407E-A947-70E740481C1C}">
                          <a14:useLocalDpi xmlns:a14="http://schemas.microsoft.com/office/drawing/2010/main" val="0"/>
                        </a:ext>
                      </a:extLst>
                    </a:blip>
                    <a:srcRect b="6135"/>
                    <a:stretch/>
                  </pic:blipFill>
                  <pic:spPr bwMode="auto">
                    <a:xfrm>
                      <a:off x="0" y="0"/>
                      <a:ext cx="6120765" cy="2200275"/>
                    </a:xfrm>
                    <a:prstGeom prst="rect">
                      <a:avLst/>
                    </a:prstGeom>
                    <a:ln>
                      <a:noFill/>
                    </a:ln>
                    <a:extLst>
                      <a:ext uri="{53640926-AAD7-44D8-BBD7-CCE9431645EC}">
                        <a14:shadowObscured xmlns:a14="http://schemas.microsoft.com/office/drawing/2010/main"/>
                      </a:ext>
                    </a:extLst>
                  </pic:spPr>
                </pic:pic>
              </a:graphicData>
            </a:graphic>
          </wp:inline>
        </w:drawing>
      </w:r>
    </w:p>
    <w:p w14:paraId="6473F7B9" w14:textId="77777777" w:rsidR="001C1A34" w:rsidRPr="00E65730" w:rsidRDefault="001C1A34" w:rsidP="001C1A34">
      <w:pPr>
        <w:pStyle w:val="ListParagraph"/>
        <w:numPr>
          <w:ilvl w:val="0"/>
          <w:numId w:val="31"/>
        </w:numPr>
        <w:jc w:val="both"/>
        <w:rPr>
          <w:rFonts w:ascii="Arial" w:hAnsi="Arial" w:cs="Arial"/>
          <w:sz w:val="20"/>
          <w:szCs w:val="20"/>
          <w:lang w:val="en-US"/>
        </w:rPr>
      </w:pPr>
      <w:r w:rsidRPr="00E65730">
        <w:rPr>
          <w:rFonts w:ascii="Arial" w:hAnsi="Arial" w:cs="Arial"/>
          <w:sz w:val="20"/>
          <w:szCs w:val="20"/>
          <w:lang w:val="en-US"/>
        </w:rPr>
        <w:t>UE tries to perform an inter-RAT handover for voice</w:t>
      </w:r>
      <w:r>
        <w:rPr>
          <w:rFonts w:ascii="Arial" w:hAnsi="Arial" w:cs="Arial"/>
          <w:sz w:val="20"/>
          <w:szCs w:val="20"/>
          <w:lang w:val="en-US"/>
        </w:rPr>
        <w:t xml:space="preserve"> </w:t>
      </w:r>
      <w:r w:rsidRPr="00E65730">
        <w:rPr>
          <w:rFonts w:ascii="Arial" w:hAnsi="Arial" w:cs="Arial"/>
          <w:sz w:val="20"/>
          <w:szCs w:val="20"/>
          <w:lang w:val="en-US"/>
        </w:rPr>
        <w:t>fallback purpose but fails</w:t>
      </w:r>
    </w:p>
    <w:p w14:paraId="4FF36AAB" w14:textId="77777777" w:rsidR="001C1A34" w:rsidRPr="00E65730" w:rsidRDefault="001C1A34" w:rsidP="001C1A34">
      <w:pPr>
        <w:pStyle w:val="ListParagraph"/>
        <w:numPr>
          <w:ilvl w:val="0"/>
          <w:numId w:val="31"/>
        </w:numPr>
        <w:jc w:val="both"/>
        <w:rPr>
          <w:rFonts w:ascii="Arial" w:hAnsi="Arial" w:cs="Arial"/>
          <w:sz w:val="20"/>
          <w:szCs w:val="20"/>
          <w:lang w:val="en-US"/>
        </w:rPr>
      </w:pPr>
      <w:r w:rsidRPr="00E65730">
        <w:rPr>
          <w:rFonts w:ascii="Arial" w:hAnsi="Arial" w:cs="Arial"/>
          <w:sz w:val="20"/>
          <w:szCs w:val="20"/>
          <w:lang w:val="en-US"/>
        </w:rPr>
        <w:t>UE perform cell selection, however, is unable to find a suitable/acceptable LTE cell</w:t>
      </w:r>
    </w:p>
    <w:p w14:paraId="485002A1" w14:textId="77777777" w:rsidR="001C1A34" w:rsidRPr="00E65730" w:rsidRDefault="001C1A34" w:rsidP="001C1A34">
      <w:pPr>
        <w:pStyle w:val="ListParagraph"/>
        <w:numPr>
          <w:ilvl w:val="0"/>
          <w:numId w:val="31"/>
        </w:numPr>
        <w:jc w:val="both"/>
        <w:rPr>
          <w:rFonts w:ascii="Arial" w:hAnsi="Arial" w:cs="Arial"/>
          <w:sz w:val="20"/>
          <w:szCs w:val="20"/>
          <w:lang w:val="en-US"/>
        </w:rPr>
      </w:pPr>
      <w:r w:rsidRPr="00E65730">
        <w:rPr>
          <w:rFonts w:ascii="Arial" w:hAnsi="Arial" w:cs="Arial"/>
          <w:sz w:val="20"/>
          <w:szCs w:val="20"/>
          <w:lang w:val="en-US"/>
        </w:rPr>
        <w:t>UE reverts to NR and performs a cell reselection</w:t>
      </w:r>
    </w:p>
    <w:p w14:paraId="4081B288" w14:textId="77777777" w:rsidR="001C1A34" w:rsidRPr="00E65730" w:rsidRDefault="001C1A34" w:rsidP="001C1A34">
      <w:pPr>
        <w:pStyle w:val="ListParagraph"/>
        <w:numPr>
          <w:ilvl w:val="1"/>
          <w:numId w:val="31"/>
        </w:numPr>
        <w:jc w:val="both"/>
        <w:rPr>
          <w:rFonts w:ascii="Arial" w:hAnsi="Arial" w:cs="Arial"/>
          <w:sz w:val="20"/>
          <w:szCs w:val="20"/>
          <w:lang w:val="en-US"/>
        </w:rPr>
      </w:pPr>
      <w:r w:rsidRPr="00E65730">
        <w:rPr>
          <w:rFonts w:ascii="Arial" w:hAnsi="Arial" w:cs="Arial"/>
          <w:sz w:val="20"/>
          <w:szCs w:val="20"/>
          <w:lang w:val="en-US"/>
        </w:rPr>
        <w:t>T311 expires and UE sets the noSuitableCellFound flag</w:t>
      </w:r>
    </w:p>
    <w:p w14:paraId="4AAACF4A" w14:textId="77777777" w:rsidR="001C1A34" w:rsidRPr="00E65730" w:rsidRDefault="001C1A34" w:rsidP="001C1A34">
      <w:pPr>
        <w:pStyle w:val="ListParagraph"/>
        <w:numPr>
          <w:ilvl w:val="0"/>
          <w:numId w:val="31"/>
        </w:numPr>
        <w:jc w:val="both"/>
        <w:rPr>
          <w:rFonts w:ascii="Arial" w:hAnsi="Arial" w:cs="Arial"/>
          <w:sz w:val="20"/>
          <w:szCs w:val="20"/>
          <w:lang w:val="en-US"/>
        </w:rPr>
      </w:pPr>
      <w:r w:rsidRPr="00E65730">
        <w:rPr>
          <w:rFonts w:ascii="Arial" w:hAnsi="Arial" w:cs="Arial"/>
          <w:sz w:val="20"/>
          <w:szCs w:val="20"/>
          <w:lang w:val="en-US"/>
        </w:rPr>
        <w:t>UE transitions to IDLE and finds an acceptable cell in LTE</w:t>
      </w:r>
      <w:r>
        <w:rPr>
          <w:rFonts w:ascii="Arial" w:hAnsi="Arial" w:cs="Arial"/>
          <w:sz w:val="20"/>
          <w:szCs w:val="20"/>
          <w:lang w:val="en-US"/>
        </w:rPr>
        <w:t xml:space="preserve"> to continue the emergency call</w:t>
      </w:r>
      <w:r w:rsidRPr="00E65730">
        <w:rPr>
          <w:rFonts w:ascii="Arial" w:hAnsi="Arial" w:cs="Arial"/>
          <w:sz w:val="20"/>
          <w:szCs w:val="20"/>
          <w:lang w:val="en-US"/>
        </w:rPr>
        <w:t>.</w:t>
      </w:r>
    </w:p>
    <w:p w14:paraId="15DF3974" w14:textId="77777777" w:rsidR="001C1A34" w:rsidRDefault="001C1A34" w:rsidP="001C1A34">
      <w:pPr>
        <w:jc w:val="both"/>
        <w:rPr>
          <w:rFonts w:ascii="Arial" w:hAnsi="Arial" w:cs="Arial"/>
          <w:lang w:val="en-US"/>
        </w:rPr>
      </w:pPr>
    </w:p>
    <w:p w14:paraId="2FABDC60" w14:textId="77777777" w:rsidR="001C1A34" w:rsidRDefault="001C1A34" w:rsidP="001C1A34">
      <w:pPr>
        <w:jc w:val="both"/>
        <w:rPr>
          <w:rFonts w:ascii="Arial" w:hAnsi="Arial" w:cs="Arial"/>
          <w:lang w:val="en-US"/>
        </w:rPr>
      </w:pPr>
      <w:r w:rsidRPr="00E65730">
        <w:rPr>
          <w:rFonts w:ascii="Arial" w:hAnsi="Arial" w:cs="Arial"/>
          <w:lang w:val="en-US"/>
        </w:rPr>
        <w:t xml:space="preserve">UE is expected to set the noSuitableCellFound flag but </w:t>
      </w:r>
      <w:r>
        <w:rPr>
          <w:rFonts w:ascii="Arial" w:hAnsi="Arial" w:cs="Arial"/>
          <w:lang w:val="en-US"/>
        </w:rPr>
        <w:t>the flag</w:t>
      </w:r>
      <w:r w:rsidRPr="00E65730">
        <w:rPr>
          <w:rFonts w:ascii="Arial" w:hAnsi="Arial" w:cs="Arial"/>
          <w:lang w:val="en-US"/>
        </w:rPr>
        <w:t xml:space="preserve"> is already set</w:t>
      </w:r>
      <w:r>
        <w:rPr>
          <w:rFonts w:ascii="Arial" w:hAnsi="Arial" w:cs="Arial"/>
          <w:lang w:val="en-US"/>
        </w:rPr>
        <w:t xml:space="preserve"> at the step 3-a</w:t>
      </w:r>
      <w:r w:rsidRPr="00E65730">
        <w:rPr>
          <w:rFonts w:ascii="Arial" w:hAnsi="Arial" w:cs="Arial"/>
          <w:lang w:val="en-US"/>
        </w:rPr>
        <w:t xml:space="preserve">, </w:t>
      </w:r>
      <w:r>
        <w:rPr>
          <w:rFonts w:ascii="Arial" w:hAnsi="Arial" w:cs="Arial"/>
          <w:lang w:val="en-US"/>
        </w:rPr>
        <w:t>so the information remains missing</w:t>
      </w:r>
      <w:r w:rsidRPr="00E65730">
        <w:rPr>
          <w:rFonts w:ascii="Arial" w:hAnsi="Arial" w:cs="Arial"/>
          <w:lang w:val="en-US"/>
        </w:rPr>
        <w:t>.</w:t>
      </w:r>
    </w:p>
    <w:p w14:paraId="6F32226B" w14:textId="77777777" w:rsidR="001C1A34" w:rsidRDefault="001C1A34" w:rsidP="001C1A34">
      <w:pPr>
        <w:pStyle w:val="Observation"/>
        <w:rPr>
          <w:lang w:val="en-US"/>
        </w:rPr>
      </w:pPr>
      <w:bookmarkStart w:id="9" w:name="_Toc134720843"/>
      <w:r>
        <w:rPr>
          <w:lang w:val="en-US"/>
        </w:rPr>
        <w:t>Implicit indication using noSuitableCellFound-r16 flag creates ambiguity in some scenario.</w:t>
      </w:r>
      <w:bookmarkEnd w:id="9"/>
    </w:p>
    <w:p w14:paraId="715F5103" w14:textId="06918E41" w:rsidR="001C1A34" w:rsidRDefault="00536FFF" w:rsidP="007D11B2">
      <w:pPr>
        <w:pStyle w:val="Observation"/>
        <w:rPr>
          <w:lang w:val="en-US"/>
        </w:rPr>
      </w:pPr>
      <w:bookmarkStart w:id="10" w:name="_Toc134720844"/>
      <w:r>
        <w:rPr>
          <w:lang w:val="en-US"/>
        </w:rPr>
        <w:t>If the reconnectCell ID is EUTRA, it will not be possible for the network to figure</w:t>
      </w:r>
      <w:r w:rsidRPr="00536FFF">
        <w:rPr>
          <w:lang w:val="en-US"/>
        </w:rPr>
        <w:t xml:space="preserve"> </w:t>
      </w:r>
      <w:r>
        <w:rPr>
          <w:lang w:val="en-US"/>
        </w:rPr>
        <w:t>out whether the reconnect cell ID was a suitable cell or acceptable cell during cell selection procedure</w:t>
      </w:r>
      <w:r w:rsidR="0048615A">
        <w:rPr>
          <w:lang w:val="en-US"/>
        </w:rPr>
        <w:t xml:space="preserve">, hence the network may </w:t>
      </w:r>
      <w:r w:rsidR="003F2B17">
        <w:rPr>
          <w:lang w:val="en-US"/>
        </w:rPr>
        <w:t>use the reconnect cell ID as a candidate cell for future inter-RAT HO.</w:t>
      </w:r>
      <w:bookmarkEnd w:id="10"/>
    </w:p>
    <w:p w14:paraId="70B3E0E4" w14:textId="77777777" w:rsidR="001C1A34" w:rsidRDefault="001C1A34" w:rsidP="001C1A34">
      <w:pPr>
        <w:jc w:val="both"/>
        <w:rPr>
          <w:rFonts w:ascii="Arial" w:hAnsi="Arial" w:cs="Arial"/>
          <w:lang w:val="en-US"/>
        </w:rPr>
      </w:pPr>
      <w:r>
        <w:rPr>
          <w:rFonts w:ascii="Arial" w:hAnsi="Arial" w:cs="Arial"/>
          <w:lang w:val="en-US"/>
        </w:rPr>
        <w:t>However, an explicit flag indicating the LTE cell as an acceptable cell resolves the ambiguity, In the aforementioned scenario, UE can set both noSuitableCellFound-r16 flag and the new flag to indicate it was unable to find a suitable cell in LTE after a fallback HO failure.</w:t>
      </w:r>
    </w:p>
    <w:p w14:paraId="60D235D4" w14:textId="3BDFDB4A" w:rsidR="001C1A34" w:rsidRPr="00E65730" w:rsidRDefault="009F0FA8" w:rsidP="00DA743A">
      <w:pPr>
        <w:pStyle w:val="Proposal"/>
        <w:rPr>
          <w:lang w:val="en-US"/>
        </w:rPr>
      </w:pPr>
      <w:bookmarkStart w:id="11" w:name="_Toc134720864"/>
      <w:r>
        <w:rPr>
          <w:lang w:val="en-US"/>
        </w:rPr>
        <w:t>If the reconnectCell ID is EUTRA, the UE to include a flag indicating whether the reconnect cell ID was a suitable cell or acceptable cell during cell selection procedure.</w:t>
      </w:r>
      <w:bookmarkEnd w:id="11"/>
    </w:p>
    <w:p w14:paraId="7B680072" w14:textId="77777777" w:rsidR="001C1A34" w:rsidRPr="00F76A02" w:rsidRDefault="001C1A34" w:rsidP="001C1A34">
      <w:pPr>
        <w:jc w:val="both"/>
        <w:rPr>
          <w:rFonts w:ascii="Arial" w:hAnsi="Arial" w:cs="Arial"/>
          <w:b/>
          <w:bCs/>
          <w:u w:val="single"/>
          <w:lang w:val="en-US"/>
        </w:rPr>
      </w:pPr>
      <w:r w:rsidRPr="00F76A02">
        <w:rPr>
          <w:rFonts w:ascii="Arial" w:hAnsi="Arial" w:cs="Arial"/>
          <w:b/>
          <w:bCs/>
          <w:u w:val="single"/>
          <w:lang w:val="en-US"/>
        </w:rPr>
        <w:t xml:space="preserve">RLF after successful </w:t>
      </w:r>
      <w:r>
        <w:rPr>
          <w:rFonts w:ascii="Arial" w:hAnsi="Arial" w:cs="Arial"/>
          <w:b/>
          <w:bCs/>
          <w:u w:val="single"/>
          <w:lang w:val="en-US"/>
        </w:rPr>
        <w:t>fallback from NR to LTE</w:t>
      </w:r>
    </w:p>
    <w:p w14:paraId="5FE60DF9" w14:textId="77777777" w:rsidR="001C1A34" w:rsidRDefault="001C1A34" w:rsidP="001C1A34">
      <w:pPr>
        <w:jc w:val="both"/>
        <w:rPr>
          <w:rFonts w:ascii="Arial" w:hAnsi="Arial" w:cs="Arial"/>
          <w:lang w:val="en-US"/>
        </w:rPr>
      </w:pPr>
      <w:r>
        <w:rPr>
          <w:rFonts w:ascii="Arial" w:hAnsi="Arial" w:cs="Arial"/>
          <w:lang w:val="en-US"/>
        </w:rPr>
        <w:t>It was agreed in RAN2#121bis-e meeting that RLF after successful handover for voice fallback purpose would be considered. However, an FFS was left out whether there should be an explicit or implicit indication in the RLF report.</w:t>
      </w:r>
    </w:p>
    <w:p w14:paraId="17B2ED57" w14:textId="77777777" w:rsidR="001C1A34" w:rsidRPr="00F64D51" w:rsidRDefault="001C1A34" w:rsidP="001C1A34">
      <w:pPr>
        <w:pStyle w:val="Doc-text2"/>
        <w:pBdr>
          <w:top w:val="single" w:sz="4" w:space="1" w:color="auto"/>
          <w:left w:val="single" w:sz="4" w:space="4" w:color="auto"/>
          <w:bottom w:val="single" w:sz="4" w:space="1" w:color="auto"/>
          <w:right w:val="single" w:sz="4" w:space="4" w:color="auto"/>
        </w:pBdr>
        <w:jc w:val="both"/>
        <w:rPr>
          <w:rFonts w:eastAsia="SimSun"/>
        </w:rPr>
      </w:pPr>
      <w:r w:rsidRPr="00F64D51">
        <w:rPr>
          <w:rFonts w:eastAsia="SimSun"/>
        </w:rPr>
        <w:t>1</w:t>
      </w:r>
      <w:r w:rsidRPr="00F64D51">
        <w:rPr>
          <w:rFonts w:eastAsia="SimSun"/>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4647DAF4" w14:textId="77777777" w:rsidR="001C1A34" w:rsidRDefault="001C1A34" w:rsidP="001C1A34">
      <w:pPr>
        <w:pStyle w:val="Observation"/>
        <w:numPr>
          <w:ilvl w:val="0"/>
          <w:numId w:val="0"/>
        </w:numPr>
      </w:pPr>
    </w:p>
    <w:p w14:paraId="4DA78CE5" w14:textId="77777777" w:rsidR="001C1A34" w:rsidRPr="00EC2A93" w:rsidRDefault="001C1A34" w:rsidP="001C1A34">
      <w:pPr>
        <w:pStyle w:val="Observation"/>
        <w:rPr>
          <w:rFonts w:cs="Arial"/>
          <w:lang w:val="en-US"/>
        </w:rPr>
      </w:pPr>
      <w:bookmarkStart w:id="12" w:name="_Toc134720845"/>
      <w:r>
        <w:t>In RAN2#121bis it is agreed to support the scenario that UE fails shortly after a successful HO from NR to E-UTRAN for the voice fallback purpose.</w:t>
      </w:r>
      <w:bookmarkEnd w:id="12"/>
    </w:p>
    <w:p w14:paraId="2FD50742" w14:textId="77777777" w:rsidR="001C1A34" w:rsidRDefault="001C1A34" w:rsidP="001C1A34">
      <w:pPr>
        <w:jc w:val="both"/>
        <w:rPr>
          <w:rFonts w:ascii="Arial" w:hAnsi="Arial" w:cs="Arial"/>
          <w:lang w:val="en-US"/>
        </w:rPr>
      </w:pPr>
      <w:r>
        <w:rPr>
          <w:rFonts w:ascii="Arial" w:hAnsi="Arial" w:cs="Arial"/>
          <w:lang w:val="en-US"/>
        </w:rPr>
        <w:t>It should be noted that in the agreed scenario the RLF was declared while the UE was served by LTE and thus the generated report is an LTE RLF report.</w:t>
      </w:r>
    </w:p>
    <w:p w14:paraId="1A842F31" w14:textId="77777777" w:rsidR="001C1A34" w:rsidRDefault="001C1A34" w:rsidP="001C1A34">
      <w:pPr>
        <w:jc w:val="both"/>
        <w:rPr>
          <w:rFonts w:ascii="Arial" w:hAnsi="Arial" w:cs="Arial"/>
          <w:lang w:val="en-US"/>
        </w:rPr>
      </w:pPr>
      <w:r>
        <w:rPr>
          <w:rFonts w:ascii="Arial" w:hAnsi="Arial" w:cs="Arial"/>
          <w:lang w:val="en-US"/>
        </w:rPr>
        <w:t>Hence, we propose to re-use the same indication in the LTE RLF report to properly implement the aforementioned agreement.</w:t>
      </w:r>
    </w:p>
    <w:p w14:paraId="5C1337D3" w14:textId="77777777" w:rsidR="001C1A34" w:rsidRPr="00EC2A93" w:rsidRDefault="001C1A34" w:rsidP="001C1A34">
      <w:pPr>
        <w:pStyle w:val="Proposal"/>
        <w:rPr>
          <w:rFonts w:cs="Arial"/>
          <w:lang w:val="en-US"/>
        </w:rPr>
      </w:pPr>
      <w:bookmarkStart w:id="13" w:name="_Toc134720865"/>
      <w:r>
        <w:rPr>
          <w:rFonts w:cs="Arial"/>
        </w:rPr>
        <w:lastRenderedPageBreak/>
        <w:t>UE logs the explicit indication for voice fallback handover in the LTE RLF report for RLF after successful voice fallback HOs.</w:t>
      </w:r>
      <w:bookmarkEnd w:id="13"/>
    </w:p>
    <w:p w14:paraId="68518F5D" w14:textId="77777777" w:rsidR="001C1A34" w:rsidRDefault="001C1A34" w:rsidP="001C1A34">
      <w:pPr>
        <w:overflowPunct/>
        <w:autoSpaceDE/>
        <w:autoSpaceDN/>
        <w:adjustRightInd/>
        <w:spacing w:after="0"/>
        <w:jc w:val="both"/>
        <w:textAlignment w:val="auto"/>
        <w:rPr>
          <w:rFonts w:ascii="Arial" w:hAnsi="Arial" w:cs="Arial"/>
          <w:b/>
          <w:bCs/>
          <w:lang w:val="en-US"/>
        </w:rPr>
      </w:pPr>
    </w:p>
    <w:p w14:paraId="1BF5CA57" w14:textId="77777777" w:rsidR="001C1A34" w:rsidRDefault="001C1A34" w:rsidP="001C1A34">
      <w:pPr>
        <w:overflowPunct/>
        <w:autoSpaceDE/>
        <w:autoSpaceDN/>
        <w:adjustRightInd/>
        <w:spacing w:after="0"/>
        <w:jc w:val="both"/>
        <w:textAlignment w:val="auto"/>
        <w:rPr>
          <w:rFonts w:ascii="Arial" w:hAnsi="Arial" w:cs="Arial"/>
          <w:b/>
          <w:bCs/>
          <w:lang w:val="en-US"/>
        </w:rPr>
      </w:pPr>
    </w:p>
    <w:p w14:paraId="3F602021" w14:textId="77777777" w:rsidR="001C1A34" w:rsidRPr="007D62F2" w:rsidRDefault="001C1A34" w:rsidP="001C1A34">
      <w:pPr>
        <w:jc w:val="both"/>
        <w:rPr>
          <w:rFonts w:ascii="Arial" w:hAnsi="Arial" w:cs="Arial"/>
          <w:b/>
          <w:bCs/>
          <w:u w:val="single"/>
          <w:lang w:val="en-US"/>
        </w:rPr>
      </w:pPr>
      <w:r w:rsidRPr="007D62F2">
        <w:rPr>
          <w:rFonts w:ascii="Arial" w:hAnsi="Arial" w:cs="Arial"/>
          <w:b/>
          <w:bCs/>
          <w:u w:val="single"/>
          <w:lang w:val="en-US"/>
        </w:rPr>
        <w:t>Voice fallback HO failure due to blind handover:</w:t>
      </w:r>
    </w:p>
    <w:p w14:paraId="65BD787D" w14:textId="77777777" w:rsidR="001C1A34" w:rsidRDefault="001C1A34" w:rsidP="001C1A34">
      <w:pPr>
        <w:jc w:val="both"/>
        <w:rPr>
          <w:rFonts w:ascii="Arial" w:hAnsi="Arial" w:cs="Arial"/>
          <w:lang w:val="en-US"/>
        </w:rPr>
      </w:pPr>
      <w:r w:rsidRPr="000D28FC">
        <w:rPr>
          <w:rFonts w:ascii="Arial" w:hAnsi="Arial" w:cs="Arial"/>
          <w:lang w:val="en-US"/>
        </w:rPr>
        <w:t xml:space="preserve">It is </w:t>
      </w:r>
      <w:r>
        <w:rPr>
          <w:rFonts w:ascii="Arial" w:hAnsi="Arial" w:cs="Arial"/>
          <w:lang w:val="en-US"/>
        </w:rPr>
        <w:t>a plausible scenario</w:t>
      </w:r>
      <w:r w:rsidRPr="000D28FC">
        <w:rPr>
          <w:rFonts w:ascii="Arial" w:hAnsi="Arial" w:cs="Arial"/>
          <w:lang w:val="en-US"/>
        </w:rPr>
        <w:t xml:space="preserve"> that a NR IDLE UE is required to perform a RRC state transition to RRC_CONNECTED and </w:t>
      </w:r>
      <w:r>
        <w:rPr>
          <w:rFonts w:ascii="Arial" w:hAnsi="Arial" w:cs="Arial"/>
          <w:lang w:val="en-US"/>
        </w:rPr>
        <w:t xml:space="preserve">be </w:t>
      </w:r>
      <w:r w:rsidRPr="000D28FC">
        <w:rPr>
          <w:rFonts w:ascii="Arial" w:hAnsi="Arial" w:cs="Arial"/>
          <w:lang w:val="en-US"/>
        </w:rPr>
        <w:t>immediately sent to the LTE network for voice fallback purposes</w:t>
      </w:r>
      <w:r>
        <w:rPr>
          <w:rFonts w:ascii="Arial" w:hAnsi="Arial" w:cs="Arial"/>
          <w:lang w:val="en-US"/>
        </w:rPr>
        <w:t xml:space="preserve"> (e.g., when the voice service is not supported by the NR)</w:t>
      </w:r>
      <w:r w:rsidRPr="000D28FC">
        <w:rPr>
          <w:rFonts w:ascii="Arial" w:hAnsi="Arial" w:cs="Arial"/>
          <w:lang w:val="en-US"/>
        </w:rPr>
        <w:t>.</w:t>
      </w:r>
      <w:r>
        <w:rPr>
          <w:rFonts w:ascii="Arial" w:hAnsi="Arial" w:cs="Arial"/>
          <w:lang w:val="en-US"/>
        </w:rPr>
        <w:t xml:space="preserve"> In such scenarios NR gNB would not have the time and possibility to configure the UE with relevant RRM measurements configuration.</w:t>
      </w:r>
    </w:p>
    <w:p w14:paraId="30C43FD5" w14:textId="77777777" w:rsidR="001C1A34" w:rsidRDefault="001C1A34" w:rsidP="001C1A34">
      <w:pPr>
        <w:pStyle w:val="Observation"/>
        <w:ind w:left="1701" w:hanging="1701"/>
      </w:pPr>
      <w:bookmarkStart w:id="14" w:name="_Toc115350396"/>
      <w:bookmarkStart w:id="15" w:name="_Toc134720846"/>
      <w:r w:rsidRPr="00A1444F">
        <w:t>Network may not be able to configure the UE to perform RRM measurements</w:t>
      </w:r>
      <w:r>
        <w:t xml:space="preserve"> </w:t>
      </w:r>
      <w:r w:rsidRPr="00A1444F">
        <w:t xml:space="preserve">prior to </w:t>
      </w:r>
      <w:r>
        <w:t>a</w:t>
      </w:r>
      <w:r w:rsidRPr="00A1444F">
        <w:t xml:space="preserve"> voice fallback HO.</w:t>
      </w:r>
      <w:bookmarkEnd w:id="14"/>
      <w:bookmarkEnd w:id="15"/>
    </w:p>
    <w:p w14:paraId="73D1A1D9" w14:textId="77777777" w:rsidR="001C1A34" w:rsidRPr="00BF0B49" w:rsidRDefault="001C1A34" w:rsidP="001C1A34">
      <w:pPr>
        <w:jc w:val="both"/>
        <w:rPr>
          <w:rFonts w:ascii="Arial" w:hAnsi="Arial" w:cs="Arial"/>
        </w:rPr>
      </w:pPr>
      <w:r>
        <w:rPr>
          <w:rFonts w:ascii="Arial" w:hAnsi="Arial" w:cs="Arial"/>
        </w:rPr>
        <w:t>Since the network is forced to perform a blind handover, there is a chance that it ends in HOF and UE needs to generate a RLF report. However, UE would not have relevant L3 measurement results available to log in the RLF report upon declaring the radio link failure.</w:t>
      </w:r>
    </w:p>
    <w:p w14:paraId="4C3AE902" w14:textId="77777777" w:rsidR="001C1A34" w:rsidRPr="00A1444F" w:rsidRDefault="001C1A34" w:rsidP="001C1A34">
      <w:pPr>
        <w:pStyle w:val="Proposal"/>
      </w:pPr>
      <w:bookmarkStart w:id="16" w:name="_Toc134720866"/>
      <w:r>
        <w:t>RAN2 consider the scenario that upon transition to connected state from IDLE and immediate HO to LTE network due to voice fallback, the UE may not have L3 measurements available to report in the RLF report.</w:t>
      </w:r>
      <w:bookmarkEnd w:id="16"/>
    </w:p>
    <w:p w14:paraId="0B09D037" w14:textId="77777777" w:rsidR="001C1A34" w:rsidRPr="000D28FC" w:rsidRDefault="001C1A34" w:rsidP="001C1A34">
      <w:pPr>
        <w:jc w:val="both"/>
        <w:rPr>
          <w:rFonts w:ascii="Arial" w:hAnsi="Arial" w:cs="Arial"/>
          <w:lang w:val="en-US"/>
        </w:rPr>
      </w:pPr>
      <w:r>
        <w:rPr>
          <w:rFonts w:ascii="Arial" w:hAnsi="Arial" w:cs="Arial"/>
          <w:lang w:val="en-US"/>
        </w:rPr>
        <w:t>Moreover, s</w:t>
      </w:r>
      <w:r w:rsidRPr="000D28FC">
        <w:rPr>
          <w:rFonts w:ascii="Arial" w:hAnsi="Arial" w:cs="Arial"/>
          <w:lang w:val="en-US"/>
        </w:rPr>
        <w:t>uch UE may have some early measurement results stored and network may not have had the chance to fetch the EM results. In such scenario</w:t>
      </w:r>
      <w:r>
        <w:rPr>
          <w:rFonts w:ascii="Arial" w:hAnsi="Arial" w:cs="Arial"/>
          <w:lang w:val="en-US"/>
        </w:rPr>
        <w:t>s</w:t>
      </w:r>
      <w:r w:rsidRPr="000D28FC">
        <w:rPr>
          <w:rFonts w:ascii="Arial" w:hAnsi="Arial" w:cs="Arial"/>
          <w:lang w:val="en-US"/>
        </w:rPr>
        <w:t>, UE may include the un-fetched EM results in the RLF report</w:t>
      </w:r>
      <w:r>
        <w:rPr>
          <w:rFonts w:ascii="Arial" w:hAnsi="Arial" w:cs="Arial"/>
          <w:lang w:val="en-US"/>
        </w:rPr>
        <w:t xml:space="preserve"> so that the network is able to optimize decision for future handovers.</w:t>
      </w:r>
    </w:p>
    <w:p w14:paraId="12858355" w14:textId="77777777" w:rsidR="001C1A34" w:rsidRPr="000105E5" w:rsidRDefault="001C1A34" w:rsidP="001C1A34">
      <w:pPr>
        <w:pStyle w:val="Proposal"/>
        <w:rPr>
          <w:rFonts w:cs="Arial"/>
          <w:lang w:val="en-US"/>
        </w:rPr>
      </w:pPr>
      <w:bookmarkStart w:id="17" w:name="_Toc115350431"/>
      <w:bookmarkStart w:id="18" w:name="_Toc134720867"/>
      <w:r w:rsidRPr="000D28FC">
        <w:rPr>
          <w:rFonts w:cs="Arial"/>
        </w:rPr>
        <w:t xml:space="preserve">UE includes </w:t>
      </w:r>
      <w:r>
        <w:rPr>
          <w:rFonts w:cs="Arial"/>
        </w:rPr>
        <w:t>the available</w:t>
      </w:r>
      <w:r w:rsidRPr="000D28FC">
        <w:rPr>
          <w:rFonts w:cs="Arial"/>
        </w:rPr>
        <w:t xml:space="preserve"> </w:t>
      </w:r>
      <w:r>
        <w:rPr>
          <w:rFonts w:cs="Arial"/>
        </w:rPr>
        <w:t>early measurements</w:t>
      </w:r>
      <w:r w:rsidRPr="000D28FC">
        <w:rPr>
          <w:rFonts w:cs="Arial"/>
        </w:rPr>
        <w:t xml:space="preserve"> in the RLF report after experiencing </w:t>
      </w:r>
      <w:r>
        <w:rPr>
          <w:rFonts w:cs="Arial"/>
        </w:rPr>
        <w:t>voice fallback HOF.</w:t>
      </w:r>
      <w:bookmarkEnd w:id="17"/>
      <w:bookmarkEnd w:id="18"/>
    </w:p>
    <w:p w14:paraId="270C13F2" w14:textId="77777777" w:rsidR="001C1A34" w:rsidRDefault="001C1A34" w:rsidP="001C1A34">
      <w:pPr>
        <w:jc w:val="both"/>
        <w:rPr>
          <w:rFonts w:ascii="Arial" w:hAnsi="Arial" w:cs="Arial"/>
          <w:lang w:val="en-US"/>
        </w:rPr>
      </w:pPr>
      <w:r>
        <w:rPr>
          <w:rFonts w:ascii="Arial" w:hAnsi="Arial" w:cs="Arial"/>
          <w:lang w:val="en-US"/>
        </w:rPr>
        <w:t>Furthermore, if the UE includes time it stayed in the source cell in the RLF report, network would be able to analyze and understand that it didn’t have enough time to perform a proper handover of the UE to LTE. Such information enables the network to conclude that lack of sufficient measurements concerning the neighboring cell is not due to lack of radio coverage but due to lack of proper RRM configuration at the UE. Needless to mention, that the UE already logs time spent in a cell as part of mobility history information and including such information in the RLF report upon voice fallback failure requires negligible effort by the UE.</w:t>
      </w:r>
    </w:p>
    <w:p w14:paraId="1565EA02" w14:textId="77777777" w:rsidR="001C1A34" w:rsidRPr="00EC2A93" w:rsidRDefault="001C1A34" w:rsidP="001C1A34">
      <w:pPr>
        <w:pStyle w:val="Observation"/>
        <w:ind w:left="1701" w:hanging="1701"/>
        <w:rPr>
          <w:rFonts w:cs="Arial"/>
          <w:lang w:val="en-US"/>
        </w:rPr>
      </w:pPr>
      <w:bookmarkStart w:id="19" w:name="_Toc134720847"/>
      <w:r>
        <w:t>In case of immediate/blind handovers, logging time spent in the source cell in the RLF report (already logged as part of MHI) assists the network to distinguish the lack of proper RRM measurement at the UE than the lack of radio coverage.</w:t>
      </w:r>
      <w:bookmarkEnd w:id="19"/>
    </w:p>
    <w:p w14:paraId="01CEFFF5" w14:textId="77777777" w:rsidR="001C1A34" w:rsidRDefault="001C1A34" w:rsidP="001C1A34">
      <w:pPr>
        <w:jc w:val="both"/>
        <w:rPr>
          <w:rFonts w:ascii="Arial" w:hAnsi="Arial" w:cs="Arial"/>
          <w:lang w:val="en-US"/>
        </w:rPr>
      </w:pPr>
    </w:p>
    <w:p w14:paraId="7D3E1A70" w14:textId="77777777" w:rsidR="001C1A34" w:rsidRPr="00B54A42" w:rsidRDefault="001C1A34" w:rsidP="001C1A34">
      <w:pPr>
        <w:pStyle w:val="Proposal"/>
        <w:rPr>
          <w:rFonts w:cs="Arial"/>
          <w:lang w:val="en-US"/>
        </w:rPr>
      </w:pPr>
      <w:bookmarkStart w:id="20" w:name="_Toc134720868"/>
      <w:r w:rsidRPr="000D28FC">
        <w:rPr>
          <w:rFonts w:cs="Arial"/>
        </w:rPr>
        <w:t xml:space="preserve">UE includes </w:t>
      </w:r>
      <w:r>
        <w:rPr>
          <w:rFonts w:cs="Arial"/>
        </w:rPr>
        <w:t>time spent in the source cell in the RLF report upon voiceFallback HOF.</w:t>
      </w:r>
      <w:bookmarkEnd w:id="20"/>
      <m:oMath>
        <m:r>
          <m:rPr>
            <m:sty m:val="bi"/>
          </m:rPr>
          <w:rPr>
            <w:rFonts w:ascii="Cambria Math" w:hAnsi="Cambria Math" w:cstheme="minorHAnsi"/>
            <w:lang w:val="en-US"/>
          </w:rPr>
          <m:t xml:space="preserve">     </m:t>
        </m:r>
      </m:oMath>
    </w:p>
    <w:p w14:paraId="528942FC" w14:textId="77777777" w:rsidR="001C1A34" w:rsidRDefault="001C1A34" w:rsidP="001C1A34">
      <w:pPr>
        <w:pStyle w:val="Proposal"/>
        <w:numPr>
          <w:ilvl w:val="0"/>
          <w:numId w:val="0"/>
        </w:numPr>
        <w:rPr>
          <w:rFonts w:cs="Arial"/>
          <w:lang w:val="en-US"/>
        </w:rPr>
      </w:pPr>
    </w:p>
    <w:p w14:paraId="792B11C6" w14:textId="77777777" w:rsidR="009C1238" w:rsidRDefault="009C1238" w:rsidP="001C1A34">
      <w:pPr>
        <w:pStyle w:val="Proposal"/>
        <w:numPr>
          <w:ilvl w:val="0"/>
          <w:numId w:val="0"/>
        </w:numPr>
        <w:rPr>
          <w:rFonts w:cs="Arial"/>
          <w:lang w:val="en-US"/>
        </w:rPr>
      </w:pPr>
    </w:p>
    <w:p w14:paraId="68A0AB53" w14:textId="77777777" w:rsidR="009C1238" w:rsidRDefault="009C1238" w:rsidP="001C1A34">
      <w:pPr>
        <w:pStyle w:val="Proposal"/>
        <w:numPr>
          <w:ilvl w:val="0"/>
          <w:numId w:val="0"/>
        </w:numPr>
        <w:rPr>
          <w:rFonts w:cs="Arial"/>
          <w:lang w:val="en-US"/>
        </w:rPr>
      </w:pPr>
    </w:p>
    <w:p w14:paraId="12D64DD0" w14:textId="77777777" w:rsidR="009C1238" w:rsidRDefault="009C1238" w:rsidP="001C1A34">
      <w:pPr>
        <w:pStyle w:val="Proposal"/>
        <w:numPr>
          <w:ilvl w:val="0"/>
          <w:numId w:val="0"/>
        </w:numPr>
        <w:rPr>
          <w:rFonts w:cs="Arial"/>
          <w:lang w:val="en-US"/>
        </w:rPr>
      </w:pPr>
    </w:p>
    <w:p w14:paraId="716D46B7" w14:textId="77777777" w:rsidR="009C1238" w:rsidRDefault="009C1238" w:rsidP="001C1A34">
      <w:pPr>
        <w:pStyle w:val="Proposal"/>
        <w:numPr>
          <w:ilvl w:val="0"/>
          <w:numId w:val="0"/>
        </w:numPr>
        <w:rPr>
          <w:rFonts w:cs="Arial"/>
          <w:lang w:val="en-US"/>
        </w:rPr>
      </w:pPr>
    </w:p>
    <w:p w14:paraId="6D6C87EC" w14:textId="77777777" w:rsidR="009C1238" w:rsidRDefault="009C1238" w:rsidP="001C1A34">
      <w:pPr>
        <w:pStyle w:val="Proposal"/>
        <w:numPr>
          <w:ilvl w:val="0"/>
          <w:numId w:val="0"/>
        </w:numPr>
        <w:rPr>
          <w:rFonts w:cs="Arial"/>
          <w:lang w:val="en-US"/>
        </w:rPr>
      </w:pPr>
    </w:p>
    <w:p w14:paraId="6C51F248" w14:textId="77777777" w:rsidR="009C1238" w:rsidRDefault="009C1238" w:rsidP="001C1A34">
      <w:pPr>
        <w:pStyle w:val="Proposal"/>
        <w:numPr>
          <w:ilvl w:val="0"/>
          <w:numId w:val="0"/>
        </w:numPr>
        <w:rPr>
          <w:rFonts w:cs="Arial"/>
          <w:lang w:val="en-US"/>
        </w:rPr>
      </w:pPr>
    </w:p>
    <w:p w14:paraId="0FF93602" w14:textId="77777777" w:rsidR="009C1238" w:rsidRDefault="009C1238" w:rsidP="001C1A34">
      <w:pPr>
        <w:pStyle w:val="Proposal"/>
        <w:numPr>
          <w:ilvl w:val="0"/>
          <w:numId w:val="0"/>
        </w:numPr>
        <w:rPr>
          <w:rFonts w:cs="Arial"/>
          <w:lang w:val="en-US"/>
        </w:rPr>
      </w:pPr>
    </w:p>
    <w:p w14:paraId="41FF4682" w14:textId="77777777" w:rsidR="00080B55" w:rsidRDefault="00080B55" w:rsidP="001C1A34">
      <w:pPr>
        <w:pStyle w:val="Proposal"/>
        <w:numPr>
          <w:ilvl w:val="0"/>
          <w:numId w:val="0"/>
        </w:numPr>
        <w:rPr>
          <w:rFonts w:cs="Arial"/>
          <w:lang w:val="en-US"/>
        </w:rPr>
      </w:pPr>
    </w:p>
    <w:p w14:paraId="4670DEDD" w14:textId="77777777" w:rsidR="00080B55" w:rsidRDefault="00080B55" w:rsidP="001C1A34">
      <w:pPr>
        <w:pStyle w:val="Proposal"/>
        <w:numPr>
          <w:ilvl w:val="0"/>
          <w:numId w:val="0"/>
        </w:numPr>
        <w:rPr>
          <w:rFonts w:cs="Arial"/>
          <w:lang w:val="en-US"/>
        </w:rPr>
      </w:pPr>
    </w:p>
    <w:p w14:paraId="10869568" w14:textId="77777777" w:rsidR="00080B55" w:rsidRDefault="00080B55" w:rsidP="001C1A34">
      <w:pPr>
        <w:pStyle w:val="Proposal"/>
        <w:numPr>
          <w:ilvl w:val="0"/>
          <w:numId w:val="0"/>
        </w:numPr>
        <w:rPr>
          <w:rFonts w:cs="Arial"/>
          <w:lang w:val="en-US"/>
        </w:rPr>
      </w:pPr>
    </w:p>
    <w:p w14:paraId="280D3595" w14:textId="77777777" w:rsidR="00080B55" w:rsidRDefault="00080B55" w:rsidP="001C1A34">
      <w:pPr>
        <w:pStyle w:val="Proposal"/>
        <w:numPr>
          <w:ilvl w:val="0"/>
          <w:numId w:val="0"/>
        </w:numPr>
        <w:rPr>
          <w:rFonts w:cs="Arial"/>
          <w:lang w:val="en-US"/>
        </w:rPr>
      </w:pPr>
    </w:p>
    <w:p w14:paraId="68F3E222" w14:textId="77777777" w:rsidR="00080B55" w:rsidRDefault="00080B55" w:rsidP="001C1A34">
      <w:pPr>
        <w:pStyle w:val="Proposal"/>
        <w:numPr>
          <w:ilvl w:val="0"/>
          <w:numId w:val="0"/>
        </w:numPr>
        <w:rPr>
          <w:rFonts w:cs="Arial"/>
          <w:lang w:val="en-US"/>
        </w:rPr>
      </w:pPr>
    </w:p>
    <w:p w14:paraId="2ECCFA9C" w14:textId="77777777" w:rsidR="00080B55" w:rsidRDefault="00080B55" w:rsidP="001C1A34">
      <w:pPr>
        <w:pStyle w:val="Proposal"/>
        <w:numPr>
          <w:ilvl w:val="0"/>
          <w:numId w:val="0"/>
        </w:numPr>
        <w:rPr>
          <w:rFonts w:cs="Arial"/>
          <w:lang w:val="en-US"/>
        </w:rPr>
      </w:pPr>
    </w:p>
    <w:p w14:paraId="7139D154" w14:textId="77777777" w:rsidR="00080B55" w:rsidRDefault="00080B55" w:rsidP="001C1A34">
      <w:pPr>
        <w:pStyle w:val="Proposal"/>
        <w:numPr>
          <w:ilvl w:val="0"/>
          <w:numId w:val="0"/>
        </w:numPr>
        <w:rPr>
          <w:rFonts w:cs="Arial"/>
          <w:lang w:val="en-US"/>
        </w:rPr>
      </w:pPr>
    </w:p>
    <w:p w14:paraId="54396A0D" w14:textId="05E19E90" w:rsidR="00080B55" w:rsidRPr="008E4F2F" w:rsidRDefault="00080B55" w:rsidP="00080B55">
      <w:pPr>
        <w:pStyle w:val="Heading1"/>
        <w:jc w:val="both"/>
      </w:pPr>
      <w:r>
        <w:t>3</w:t>
      </w:r>
      <w:r w:rsidRPr="008E4F2F">
        <w:tab/>
        <w:t>SPR for NR-DC</w:t>
      </w:r>
    </w:p>
    <w:p w14:paraId="39A655D5" w14:textId="77777777" w:rsidR="00080B55" w:rsidRPr="008E4F2F" w:rsidRDefault="00080B55" w:rsidP="00080B55">
      <w:pPr>
        <w:jc w:val="both"/>
        <w:rPr>
          <w:rFonts w:ascii="Arial" w:hAnsi="Arial"/>
          <w:lang w:val="en-US"/>
        </w:rPr>
      </w:pPr>
      <w:r w:rsidRPr="008E4F2F">
        <w:rPr>
          <w:rFonts w:ascii="Arial" w:hAnsi="Arial"/>
          <w:lang w:val="en-US"/>
        </w:rPr>
        <w:t>The following sections are organized in</w:t>
      </w:r>
      <w:r w:rsidRPr="008E4F2F" w:rsidDel="003B6BC9">
        <w:rPr>
          <w:rFonts w:ascii="Arial" w:hAnsi="Arial"/>
          <w:lang w:val="en-US"/>
        </w:rPr>
        <w:t xml:space="preserve"> </w:t>
      </w:r>
      <w:r w:rsidRPr="008E4F2F">
        <w:rPr>
          <w:rFonts w:ascii="Arial" w:hAnsi="Arial"/>
          <w:lang w:val="en-US"/>
        </w:rPr>
        <w:t>SPR configuration, reporting and report contents, respectively.</w:t>
      </w:r>
    </w:p>
    <w:p w14:paraId="3D378F71" w14:textId="11FDF2C7" w:rsidR="00080B55" w:rsidRPr="008E4F2F" w:rsidRDefault="005B6815" w:rsidP="00080B55">
      <w:pPr>
        <w:pStyle w:val="Heading2"/>
        <w:rPr>
          <w:rFonts w:cs="Arial"/>
          <w:b/>
          <w:bCs/>
          <w:lang w:val="en-US"/>
        </w:rPr>
      </w:pPr>
      <w:r>
        <w:rPr>
          <w:lang w:val="en-US"/>
        </w:rPr>
        <w:t>3</w:t>
      </w:r>
      <w:r w:rsidR="00080B55">
        <w:rPr>
          <w:lang w:val="en-US"/>
        </w:rPr>
        <w:t xml:space="preserve">.1 </w:t>
      </w:r>
      <w:r w:rsidR="00080B55" w:rsidRPr="008032D7">
        <w:rPr>
          <w:lang w:val="en-US"/>
        </w:rPr>
        <w:t>SPR</w:t>
      </w:r>
      <w:r w:rsidR="00080B55" w:rsidRPr="008032D7">
        <w:rPr>
          <w:rFonts w:cs="Arial"/>
          <w:lang w:val="en-US"/>
        </w:rPr>
        <w:t xml:space="preserve"> configuration</w:t>
      </w:r>
      <w:r w:rsidR="00080B55" w:rsidRPr="008032D7">
        <w:rPr>
          <w:rFonts w:cs="Arial"/>
          <w:bCs/>
          <w:lang w:val="en-US"/>
        </w:rPr>
        <w:t xml:space="preserve"> aspect:</w:t>
      </w:r>
    </w:p>
    <w:p w14:paraId="1786AB55" w14:textId="77777777" w:rsidR="00080B55" w:rsidRPr="008E4F2F" w:rsidRDefault="00080B55" w:rsidP="00080B55">
      <w:pPr>
        <w:jc w:val="both"/>
        <w:rPr>
          <w:rFonts w:cs="Arial"/>
          <w:lang w:val="en-US"/>
        </w:rPr>
      </w:pPr>
      <w:r w:rsidRPr="008E4F2F">
        <w:rPr>
          <w:rFonts w:ascii="Arial" w:hAnsi="Arial" w:cs="Arial"/>
          <w:lang w:val="en-US"/>
        </w:rPr>
        <w:t>In RAN2#119bis it was agreed that at least T304, T310, T312 timer</w:t>
      </w:r>
      <w:r>
        <w:rPr>
          <w:rFonts w:ascii="Arial" w:hAnsi="Arial" w:cs="Arial"/>
          <w:lang w:val="en-US"/>
        </w:rPr>
        <w:t>-based triggers</w:t>
      </w:r>
      <w:r w:rsidRPr="008E4F2F">
        <w:rPr>
          <w:rFonts w:ascii="Arial" w:hAnsi="Arial" w:cs="Arial"/>
          <w:lang w:val="en-US"/>
        </w:rPr>
        <w:t xml:space="preserve"> would be used as the </w:t>
      </w:r>
      <w:r>
        <w:rPr>
          <w:rFonts w:ascii="Arial" w:hAnsi="Arial" w:cs="Arial"/>
          <w:lang w:val="en-US"/>
        </w:rPr>
        <w:t xml:space="preserve">SPR </w:t>
      </w:r>
      <w:r w:rsidRPr="008E4F2F">
        <w:rPr>
          <w:rFonts w:ascii="Arial" w:hAnsi="Arial" w:cs="Arial"/>
          <w:lang w:val="en-US"/>
        </w:rPr>
        <w:t xml:space="preserve">triggering configuration. Furthermore, in RAN2#120 meeting, it was agreed that both MN and SN can configure the UE with SPR configuration depending on </w:t>
      </w:r>
      <w:r>
        <w:rPr>
          <w:rFonts w:ascii="Arial" w:hAnsi="Arial" w:cs="Arial"/>
          <w:lang w:val="en-US"/>
        </w:rPr>
        <w:t>which node initiates the PSCell change/addition</w:t>
      </w:r>
      <w:r w:rsidRPr="008E4F2F">
        <w:rPr>
          <w:rFonts w:ascii="Arial" w:hAnsi="Arial" w:cs="Arial"/>
          <w:lang w:val="en-US"/>
        </w:rPr>
        <w:t>. RAN2 further concluded that T304 related triggering condition is configured by the target SN node and UE creates SPR when T304 value exceeds the configured threshold.</w:t>
      </w:r>
    </w:p>
    <w:p w14:paraId="2467A815" w14:textId="77777777" w:rsidR="00080B55" w:rsidRDefault="00080B55" w:rsidP="00080B55">
      <w:pPr>
        <w:jc w:val="both"/>
        <w:rPr>
          <w:rFonts w:ascii="Arial" w:hAnsi="Arial" w:cs="Arial"/>
          <w:lang w:val="en-US"/>
        </w:rPr>
      </w:pPr>
      <w:r>
        <w:rPr>
          <w:rFonts w:ascii="Arial" w:hAnsi="Arial" w:cs="Arial"/>
          <w:lang w:val="en-US"/>
        </w:rPr>
        <w:t xml:space="preserve">It is noted that, UE needs to monitor </w:t>
      </w:r>
      <w:r w:rsidRPr="008E4F2F">
        <w:rPr>
          <w:rFonts w:ascii="Arial" w:hAnsi="Arial" w:cs="Arial"/>
          <w:lang w:val="en-US"/>
        </w:rPr>
        <w:t>T310 and T312 timers related to source PSCell</w:t>
      </w:r>
      <w:r>
        <w:rPr>
          <w:rFonts w:ascii="Arial" w:hAnsi="Arial" w:cs="Arial"/>
          <w:lang w:val="en-US"/>
        </w:rPr>
        <w:t>.</w:t>
      </w:r>
    </w:p>
    <w:p w14:paraId="37A7FD0E" w14:textId="77777777" w:rsidR="00080B55" w:rsidRPr="00240418" w:rsidRDefault="00080B55" w:rsidP="00080B55">
      <w:pPr>
        <w:pStyle w:val="Observation"/>
        <w:numPr>
          <w:ilvl w:val="0"/>
          <w:numId w:val="34"/>
        </w:numPr>
        <w:rPr>
          <w:rFonts w:cs="Arial"/>
          <w:lang w:val="en-US"/>
        </w:rPr>
      </w:pPr>
      <w:bookmarkStart w:id="21" w:name="_Toc134708804"/>
      <w:bookmarkStart w:id="22" w:name="_Toc134708817"/>
      <w:bookmarkStart w:id="23" w:name="_Toc134720848"/>
      <w:r w:rsidRPr="00240418">
        <w:rPr>
          <w:rFonts w:cs="Arial"/>
          <w:lang w:val="en-US"/>
        </w:rPr>
        <w:t xml:space="preserve">To </w:t>
      </w:r>
      <w:r>
        <w:rPr>
          <w:rFonts w:cs="Arial"/>
          <w:lang w:val="en-US"/>
        </w:rPr>
        <w:t>evaluate</w:t>
      </w:r>
      <w:r w:rsidRPr="00240418">
        <w:rPr>
          <w:rFonts w:cs="Arial"/>
          <w:lang w:val="en-US"/>
        </w:rPr>
        <w:t xml:space="preserve"> SPR</w:t>
      </w:r>
      <w:r>
        <w:rPr>
          <w:rFonts w:cs="Arial"/>
          <w:lang w:val="en-US"/>
        </w:rPr>
        <w:t xml:space="preserve"> triggering condition</w:t>
      </w:r>
      <w:r w:rsidRPr="00240418">
        <w:rPr>
          <w:rFonts w:cs="Arial"/>
          <w:lang w:val="en-US"/>
        </w:rPr>
        <w:t xml:space="preserve">, UE needs to monitor T310/T312 timers </w:t>
      </w:r>
      <w:r>
        <w:rPr>
          <w:rFonts w:cs="Arial"/>
          <w:lang w:val="en-US"/>
        </w:rPr>
        <w:t>associated</w:t>
      </w:r>
      <w:r w:rsidRPr="00240418">
        <w:rPr>
          <w:rFonts w:cs="Arial"/>
          <w:lang w:val="en-US"/>
        </w:rPr>
        <w:t xml:space="preserve"> to </w:t>
      </w:r>
      <w:r>
        <w:rPr>
          <w:rFonts w:cs="Arial"/>
          <w:lang w:val="en-US"/>
        </w:rPr>
        <w:t xml:space="preserve">the </w:t>
      </w:r>
      <w:r w:rsidRPr="00240418">
        <w:rPr>
          <w:rFonts w:cs="Arial"/>
          <w:lang w:val="en-US"/>
        </w:rPr>
        <w:t>source PSCell.</w:t>
      </w:r>
      <w:bookmarkEnd w:id="21"/>
      <w:bookmarkEnd w:id="22"/>
      <w:bookmarkEnd w:id="23"/>
    </w:p>
    <w:p w14:paraId="42A3CA3E" w14:textId="77777777" w:rsidR="00080B55" w:rsidRDefault="00080B55" w:rsidP="00080B55">
      <w:pPr>
        <w:jc w:val="both"/>
        <w:rPr>
          <w:rFonts w:ascii="Arial" w:hAnsi="Arial" w:cs="Arial"/>
          <w:lang w:val="en-US"/>
        </w:rPr>
      </w:pPr>
      <w:r>
        <w:rPr>
          <w:rFonts w:ascii="Arial" w:hAnsi="Arial" w:cs="Arial"/>
          <w:lang w:val="en-US"/>
        </w:rPr>
        <w:t>However,</w:t>
      </w:r>
      <w:r w:rsidRPr="008E4F2F">
        <w:rPr>
          <w:rFonts w:ascii="Arial" w:hAnsi="Arial" w:cs="Arial"/>
          <w:lang w:val="en-US"/>
        </w:rPr>
        <w:t xml:space="preserve"> PSCell change can be initiated by both MN and SN. </w:t>
      </w:r>
      <w:r>
        <w:rPr>
          <w:rFonts w:ascii="Arial" w:hAnsi="Arial" w:cs="Arial"/>
          <w:lang w:val="en-US"/>
        </w:rPr>
        <w:t>In below, we analyze different scenario and implications of the previous agreements on them.</w:t>
      </w:r>
    </w:p>
    <w:p w14:paraId="2092834B" w14:textId="77777777" w:rsidR="00080B55" w:rsidRDefault="00080B55" w:rsidP="00080B55">
      <w:pPr>
        <w:pStyle w:val="Heading3"/>
        <w:rPr>
          <w:lang w:val="en-US"/>
        </w:rPr>
      </w:pPr>
      <w:r>
        <w:rPr>
          <w:lang w:val="en-US"/>
        </w:rPr>
        <w:t>SN initiated PSCell change:</w:t>
      </w:r>
    </w:p>
    <w:p w14:paraId="2FC394C3" w14:textId="77777777" w:rsidR="00080B55" w:rsidRPr="006859D6" w:rsidRDefault="00080B55" w:rsidP="00080B55">
      <w:pPr>
        <w:jc w:val="both"/>
        <w:rPr>
          <w:rFonts w:ascii="Arial" w:hAnsi="Arial" w:cs="Arial"/>
          <w:lang w:val="en-US"/>
        </w:rPr>
      </w:pPr>
      <w:r>
        <w:rPr>
          <w:rFonts w:ascii="Arial" w:hAnsi="Arial" w:cs="Arial"/>
          <w:lang w:val="en-US"/>
        </w:rPr>
        <w:t>In this scenario, source SN can configure the UE with SPR configuration with T310/T312 threshold values through SRB1 or SRB3. Moreover, since the UE needs to monitor T310/T312 timers of the SCG, source SN has the control of setting appropriate threshold values.</w:t>
      </w:r>
    </w:p>
    <w:p w14:paraId="7D2EBF5F" w14:textId="77777777" w:rsidR="00080B55" w:rsidRDefault="00080B55" w:rsidP="00080B55">
      <w:pPr>
        <w:pStyle w:val="Observation"/>
        <w:numPr>
          <w:ilvl w:val="0"/>
          <w:numId w:val="34"/>
        </w:numPr>
        <w:rPr>
          <w:rFonts w:cs="Arial"/>
          <w:lang w:val="en-US"/>
        </w:rPr>
      </w:pPr>
      <w:bookmarkStart w:id="24" w:name="_Toc134708805"/>
      <w:bookmarkStart w:id="25" w:name="_Toc134708818"/>
      <w:bookmarkStart w:id="26" w:name="_Toc134720849"/>
      <w:r>
        <w:rPr>
          <w:rFonts w:cs="Arial"/>
          <w:lang w:val="en-US"/>
        </w:rPr>
        <w:t>For SN initiated classic PSCell change, source SN node has control of the T310/T312 timers and may decide the T310/T312 triggers.</w:t>
      </w:r>
      <w:bookmarkEnd w:id="24"/>
      <w:bookmarkEnd w:id="25"/>
      <w:bookmarkEnd w:id="26"/>
    </w:p>
    <w:p w14:paraId="0570AB1B" w14:textId="77777777" w:rsidR="00080B55" w:rsidRDefault="00080B55" w:rsidP="00080B55">
      <w:pPr>
        <w:jc w:val="both"/>
        <w:rPr>
          <w:rFonts w:ascii="Arial" w:hAnsi="Arial" w:cs="Arial"/>
          <w:lang w:val="en-US"/>
        </w:rPr>
      </w:pPr>
      <w:r>
        <w:rPr>
          <w:rFonts w:ascii="Arial" w:hAnsi="Arial" w:cs="Arial"/>
          <w:lang w:val="en-US"/>
        </w:rPr>
        <w:t xml:space="preserve">Furthermore, RAN3 has agreed that for SN initiated classic PSCell change the source SN node decides the T310/T312 triggers. </w:t>
      </w:r>
    </w:p>
    <w:p w14:paraId="4E60ED92" w14:textId="77777777" w:rsidR="00080B55" w:rsidRPr="008E4F2F" w:rsidRDefault="00080B55" w:rsidP="00080B55">
      <w:pPr>
        <w:pStyle w:val="Observation"/>
        <w:numPr>
          <w:ilvl w:val="0"/>
          <w:numId w:val="34"/>
        </w:numPr>
        <w:rPr>
          <w:rFonts w:cs="Arial"/>
          <w:lang w:val="en-US"/>
        </w:rPr>
      </w:pPr>
      <w:bookmarkStart w:id="27" w:name="_Toc127468593"/>
      <w:bookmarkStart w:id="28" w:name="_Toc134708806"/>
      <w:bookmarkStart w:id="29" w:name="_Toc134708819"/>
      <w:bookmarkStart w:id="30" w:name="_Toc134720850"/>
      <w:r>
        <w:rPr>
          <w:rFonts w:cs="Arial"/>
          <w:lang w:val="en-US"/>
        </w:rPr>
        <w:t>RAN3 agreed for SN initiated classic PSCell change, the source SN node decides the T310/T312 triggers.</w:t>
      </w:r>
      <w:bookmarkEnd w:id="27"/>
      <w:bookmarkEnd w:id="28"/>
      <w:bookmarkEnd w:id="29"/>
      <w:bookmarkEnd w:id="30"/>
    </w:p>
    <w:p w14:paraId="7786CDCE" w14:textId="77777777" w:rsidR="00080B55" w:rsidRDefault="00080B55" w:rsidP="00080B55">
      <w:pPr>
        <w:pStyle w:val="Heading3"/>
        <w:rPr>
          <w:lang w:val="en-US"/>
        </w:rPr>
      </w:pPr>
      <w:r>
        <w:rPr>
          <w:lang w:val="en-US"/>
        </w:rPr>
        <w:t>MN initiated PSCell change:</w:t>
      </w:r>
    </w:p>
    <w:p w14:paraId="09925AE4" w14:textId="77777777" w:rsidR="00080B55" w:rsidRDefault="00080B55" w:rsidP="00080B55">
      <w:pPr>
        <w:rPr>
          <w:rFonts w:ascii="Arial" w:hAnsi="Arial" w:cs="Arial"/>
          <w:lang w:val="en-US"/>
        </w:rPr>
      </w:pPr>
      <w:r>
        <w:rPr>
          <w:rFonts w:ascii="Arial" w:hAnsi="Arial" w:cs="Arial"/>
          <w:lang w:val="en-US"/>
        </w:rPr>
        <w:t xml:space="preserve">In MN initiated PSCell change, MN needs to configure the </w:t>
      </w:r>
      <w:r w:rsidRPr="00B55D0D">
        <w:rPr>
          <w:rFonts w:ascii="Arial" w:hAnsi="Arial" w:cs="Arial"/>
          <w:b/>
          <w:bCs/>
          <w:lang w:val="en-US"/>
        </w:rPr>
        <w:t>thresholds</w:t>
      </w:r>
      <w:r>
        <w:rPr>
          <w:rFonts w:ascii="Arial" w:hAnsi="Arial" w:cs="Arial"/>
          <w:lang w:val="en-US"/>
        </w:rPr>
        <w:t xml:space="preserve"> of T310/T312 timer values, while the actual T310/T312 timer values are configured by the source SN. MN can configure the thresholds using the </w:t>
      </w:r>
      <w:r w:rsidRPr="007A685D">
        <w:rPr>
          <w:rFonts w:ascii="Arial" w:hAnsi="Arial" w:cs="Arial"/>
          <w:i/>
          <w:iCs/>
          <w:lang w:val="en-US"/>
        </w:rPr>
        <w:t>otherConfig</w:t>
      </w:r>
      <w:r>
        <w:rPr>
          <w:rFonts w:ascii="Arial" w:hAnsi="Arial" w:cs="Arial"/>
          <w:lang w:val="en-US"/>
        </w:rPr>
        <w:t xml:space="preserve"> </w:t>
      </w:r>
      <w:r>
        <w:rPr>
          <w:rFonts w:ascii="Arial" w:hAnsi="Arial" w:cs="Arial"/>
          <w:i/>
          <w:iCs/>
          <w:lang w:val="en-US"/>
        </w:rPr>
        <w:t>IE</w:t>
      </w:r>
      <w:r>
        <w:rPr>
          <w:rFonts w:ascii="Arial" w:hAnsi="Arial" w:cs="Arial"/>
          <w:lang w:val="en-US"/>
        </w:rPr>
        <w:t xml:space="preserve"> included in the </w:t>
      </w:r>
      <w:r w:rsidRPr="007A685D">
        <w:rPr>
          <w:rFonts w:ascii="Arial" w:hAnsi="Arial" w:cs="Arial"/>
          <w:i/>
          <w:iCs/>
          <w:lang w:val="en-US"/>
        </w:rPr>
        <w:t>RRCReconfiguration</w:t>
      </w:r>
      <w:r>
        <w:rPr>
          <w:rFonts w:ascii="Arial" w:hAnsi="Arial" w:cs="Arial"/>
          <w:lang w:val="en-US"/>
        </w:rPr>
        <w:t xml:space="preserve"> message for MCG bearers sent to the UE. </w:t>
      </w:r>
    </w:p>
    <w:p w14:paraId="4EB58477" w14:textId="77777777" w:rsidR="00080B55" w:rsidRPr="008E4F2F" w:rsidRDefault="00080B55" w:rsidP="00080B55">
      <w:pPr>
        <w:pStyle w:val="Observation"/>
        <w:numPr>
          <w:ilvl w:val="0"/>
          <w:numId w:val="34"/>
        </w:numPr>
        <w:rPr>
          <w:rFonts w:cs="Arial"/>
          <w:lang w:val="en-US"/>
        </w:rPr>
      </w:pPr>
      <w:bookmarkStart w:id="31" w:name="_Toc134708807"/>
      <w:bookmarkStart w:id="32" w:name="_Toc134708820"/>
      <w:bookmarkStart w:id="33" w:name="_Toc134720851"/>
      <w:r>
        <w:rPr>
          <w:rFonts w:cs="Arial"/>
          <w:lang w:val="en-US"/>
        </w:rPr>
        <w:t xml:space="preserve">MN may configure the UE with SPR threshold values using </w:t>
      </w:r>
      <w:r>
        <w:rPr>
          <w:rFonts w:cs="Arial"/>
          <w:i/>
          <w:iCs/>
          <w:lang w:val="en-US"/>
        </w:rPr>
        <w:t>RRCReconfiguration</w:t>
      </w:r>
      <w:r>
        <w:rPr>
          <w:rFonts w:cs="Arial"/>
          <w:lang w:val="en-US"/>
        </w:rPr>
        <w:t xml:space="preserve"> message for MCG bearers which UE uses to monitor SCG resources.</w:t>
      </w:r>
      <w:bookmarkEnd w:id="31"/>
      <w:bookmarkEnd w:id="32"/>
      <w:bookmarkEnd w:id="33"/>
    </w:p>
    <w:p w14:paraId="24A7A671" w14:textId="77777777" w:rsidR="00080B55" w:rsidRPr="001D3BBB" w:rsidRDefault="00080B55" w:rsidP="00080B55">
      <w:pPr>
        <w:rPr>
          <w:rFonts w:ascii="Arial" w:hAnsi="Arial" w:cs="Arial"/>
          <w:lang w:val="en-US"/>
        </w:rPr>
      </w:pPr>
      <w:r>
        <w:rPr>
          <w:rFonts w:ascii="Arial" w:hAnsi="Arial" w:cs="Arial"/>
          <w:lang w:val="en-US"/>
        </w:rPr>
        <w:t xml:space="preserve">However, SN may initiate intra SN PSCell change and configure the UE using the </w:t>
      </w:r>
      <w:r>
        <w:rPr>
          <w:rFonts w:ascii="Arial" w:hAnsi="Arial" w:cs="Arial"/>
          <w:i/>
          <w:iCs/>
          <w:lang w:val="en-US"/>
        </w:rPr>
        <w:t>otherConfig</w:t>
      </w:r>
      <w:r>
        <w:rPr>
          <w:rFonts w:ascii="Arial" w:hAnsi="Arial" w:cs="Arial"/>
          <w:lang w:val="en-US"/>
        </w:rPr>
        <w:t xml:space="preserve"> IE included in the </w:t>
      </w:r>
      <w:r>
        <w:rPr>
          <w:rFonts w:ascii="Arial" w:hAnsi="Arial" w:cs="Arial"/>
          <w:i/>
          <w:iCs/>
          <w:lang w:val="en-US"/>
        </w:rPr>
        <w:t>RRCReconfiguration</w:t>
      </w:r>
      <w:r>
        <w:rPr>
          <w:rFonts w:ascii="Arial" w:hAnsi="Arial" w:cs="Arial"/>
          <w:lang w:val="en-US"/>
        </w:rPr>
        <w:t xml:space="preserve"> message for SCG bearers sent to the UE. </w:t>
      </w:r>
    </w:p>
    <w:p w14:paraId="4EA91564" w14:textId="77777777" w:rsidR="00080B55" w:rsidRPr="008E4F2F" w:rsidRDefault="00080B55" w:rsidP="00080B55">
      <w:pPr>
        <w:pStyle w:val="Observation"/>
        <w:numPr>
          <w:ilvl w:val="0"/>
          <w:numId w:val="34"/>
        </w:numPr>
        <w:rPr>
          <w:rFonts w:cs="Arial"/>
          <w:lang w:val="en-US"/>
        </w:rPr>
      </w:pPr>
      <w:bookmarkStart w:id="34" w:name="_Toc134708808"/>
      <w:bookmarkStart w:id="35" w:name="_Toc134708821"/>
      <w:bookmarkStart w:id="36" w:name="_Toc134720852"/>
      <w:r>
        <w:rPr>
          <w:rFonts w:cs="Arial"/>
          <w:lang w:val="en-US"/>
        </w:rPr>
        <w:t xml:space="preserve">SN may configure the UE with SPR threshold values using </w:t>
      </w:r>
      <w:r>
        <w:rPr>
          <w:rFonts w:cs="Arial"/>
          <w:i/>
          <w:iCs/>
          <w:lang w:val="en-US"/>
        </w:rPr>
        <w:t>RRCReconfiguration</w:t>
      </w:r>
      <w:r>
        <w:rPr>
          <w:rFonts w:cs="Arial"/>
          <w:lang w:val="en-US"/>
        </w:rPr>
        <w:t xml:space="preserve"> message for SCG bearers which UE uses to monitor SCG resources. For intra-SN PSCell change, SN does not perform any coordination with MN</w:t>
      </w:r>
      <w:bookmarkEnd w:id="34"/>
      <w:bookmarkEnd w:id="35"/>
      <w:bookmarkEnd w:id="36"/>
    </w:p>
    <w:p w14:paraId="47A67D16" w14:textId="77777777" w:rsidR="00080B55" w:rsidRDefault="00080B55" w:rsidP="00080B55">
      <w:pPr>
        <w:jc w:val="both"/>
        <w:rPr>
          <w:rFonts w:ascii="Arial" w:hAnsi="Arial" w:cs="Arial"/>
          <w:lang w:val="en-US"/>
        </w:rPr>
      </w:pPr>
    </w:p>
    <w:p w14:paraId="59199413" w14:textId="77777777" w:rsidR="00080B55" w:rsidRPr="008E4F2F" w:rsidRDefault="00080B55" w:rsidP="00080B55">
      <w:pPr>
        <w:jc w:val="both"/>
        <w:rPr>
          <w:rFonts w:ascii="Arial" w:hAnsi="Arial" w:cs="Arial"/>
          <w:lang w:val="en-US"/>
        </w:rPr>
      </w:pPr>
      <w:r w:rsidRPr="008E4F2F">
        <w:rPr>
          <w:rFonts w:ascii="Arial" w:hAnsi="Arial" w:cs="Arial"/>
          <w:lang w:val="en-US"/>
        </w:rPr>
        <w:t xml:space="preserve">Hence, we propose that </w:t>
      </w:r>
      <w:r>
        <w:rPr>
          <w:rFonts w:ascii="Arial" w:hAnsi="Arial" w:cs="Arial"/>
          <w:lang w:val="en-US"/>
        </w:rPr>
        <w:t xml:space="preserve">the </w:t>
      </w:r>
      <w:r w:rsidRPr="008E4F2F">
        <w:rPr>
          <w:rFonts w:ascii="Arial" w:hAnsi="Arial" w:cs="Arial"/>
          <w:lang w:val="en-US"/>
        </w:rPr>
        <w:t>node initiating the PSCell change procedure sets the triggering condition for T310 and T312 timers.</w:t>
      </w:r>
    </w:p>
    <w:p w14:paraId="455289FF" w14:textId="77777777" w:rsidR="00080B55" w:rsidRPr="008E4F2F" w:rsidRDefault="00080B55" w:rsidP="00080B55">
      <w:pPr>
        <w:pStyle w:val="Proposal"/>
        <w:tabs>
          <w:tab w:val="num" w:pos="1304"/>
        </w:tabs>
      </w:pPr>
      <w:bookmarkStart w:id="37" w:name="_Toc127468545"/>
      <w:bookmarkStart w:id="38" w:name="_Toc134720869"/>
      <w:r w:rsidRPr="008E4F2F">
        <w:t>T310 and T312 timer related triggering conditions are set by node initiating the PSCell change procedure. i.e.,</w:t>
      </w:r>
      <w:r>
        <w:br/>
        <w:t>-</w:t>
      </w:r>
      <w:r w:rsidRPr="008E4F2F">
        <w:t xml:space="preserve"> MN initiated PSCell change, MN configures the T310 and T312 related triggering conditions</w:t>
      </w:r>
      <w:r>
        <w:t>.</w:t>
      </w:r>
      <w:r w:rsidRPr="008E4F2F">
        <w:t xml:space="preserve"> </w:t>
      </w:r>
      <w:r>
        <w:br/>
        <w:t xml:space="preserve">- </w:t>
      </w:r>
      <w:r w:rsidRPr="008E4F2F">
        <w:t>SN initiated PSCell change, source SN configures the T310 and T312 related triggering conditions.</w:t>
      </w:r>
      <w:bookmarkEnd w:id="37"/>
      <w:bookmarkEnd w:id="38"/>
    </w:p>
    <w:p w14:paraId="0A84E776" w14:textId="77777777" w:rsidR="00080B55" w:rsidRDefault="00080B55" w:rsidP="00080B55">
      <w:pPr>
        <w:jc w:val="both"/>
        <w:rPr>
          <w:rFonts w:ascii="Arial" w:hAnsi="Arial" w:cs="Arial"/>
          <w:lang w:val="en-US"/>
        </w:rPr>
      </w:pPr>
    </w:p>
    <w:p w14:paraId="27B05BF5" w14:textId="77777777" w:rsidR="00080B55" w:rsidRPr="008E4F2F" w:rsidRDefault="00080B55" w:rsidP="00080B55">
      <w:pPr>
        <w:jc w:val="both"/>
        <w:rPr>
          <w:rFonts w:ascii="Arial" w:hAnsi="Arial" w:cs="Arial"/>
          <w:lang w:val="en-US"/>
        </w:rPr>
      </w:pPr>
      <w:r w:rsidRPr="008E4F2F">
        <w:rPr>
          <w:rFonts w:ascii="Arial" w:hAnsi="Arial" w:cs="Arial"/>
          <w:lang w:val="en-US"/>
        </w:rPr>
        <w:lastRenderedPageBreak/>
        <w:t xml:space="preserve">However, MN is unaware about the T310/T312 timer values set by the source PSCell and thus is unable to set a threshold value without coordination with the SN. Since this is a per UE configuration, such coordination incurs additional overhead for MN in the preparation phase of the PSCell change procedure. To resolve this issue with minimum cost and complexity while gaining the same level of information, we propose to define </w:t>
      </w:r>
      <w:r>
        <w:rPr>
          <w:rFonts w:ascii="Arial" w:hAnsi="Arial" w:cs="Arial"/>
          <w:lang w:val="en-US"/>
        </w:rPr>
        <w:t>a single threshold for</w:t>
      </w:r>
      <w:r w:rsidRPr="008E4F2F">
        <w:rPr>
          <w:rFonts w:ascii="Arial" w:hAnsi="Arial" w:cs="Arial"/>
          <w:lang w:val="en-US"/>
        </w:rPr>
        <w:t xml:space="preserve"> T310 and T312 based triggering condition</w:t>
      </w:r>
      <w:r>
        <w:rPr>
          <w:rFonts w:ascii="Arial" w:hAnsi="Arial" w:cs="Arial"/>
          <w:lang w:val="en-US"/>
        </w:rPr>
        <w:t>.</w:t>
      </w:r>
      <w:r w:rsidRPr="008E4F2F" w:rsidDel="00B94AB7">
        <w:rPr>
          <w:rFonts w:ascii="Arial" w:hAnsi="Arial" w:cs="Arial"/>
          <w:lang w:val="en-US"/>
        </w:rPr>
        <w:t xml:space="preserve"> </w:t>
      </w:r>
      <w:r w:rsidRPr="008E4F2F">
        <w:rPr>
          <w:rFonts w:ascii="Arial" w:hAnsi="Arial" w:cs="Arial"/>
          <w:lang w:val="en-US"/>
        </w:rPr>
        <w:t xml:space="preserve">e.g., if the timer T310 associated flag is set and the timer T310 </w:t>
      </w:r>
      <w:r>
        <w:rPr>
          <w:rFonts w:ascii="Arial" w:hAnsi="Arial" w:cs="Arial"/>
          <w:lang w:val="en-US"/>
        </w:rPr>
        <w:t xml:space="preserve">of the source PSCell </w:t>
      </w:r>
      <w:r w:rsidRPr="008E4F2F">
        <w:rPr>
          <w:rFonts w:ascii="Arial" w:hAnsi="Arial" w:cs="Arial"/>
          <w:lang w:val="en-US"/>
        </w:rPr>
        <w:t xml:space="preserve">was </w:t>
      </w:r>
      <w:r>
        <w:rPr>
          <w:rFonts w:ascii="Arial" w:hAnsi="Arial" w:cs="Arial"/>
          <w:lang w:val="en-US"/>
        </w:rPr>
        <w:t xml:space="preserve">exceeded a predefined threshold value </w:t>
      </w:r>
      <w:r w:rsidRPr="00E55FF8">
        <w:rPr>
          <w:rFonts w:ascii="Arial" w:hAnsi="Arial" w:cs="Arial"/>
          <w:i/>
          <w:iCs/>
          <w:lang w:val="en-US"/>
        </w:rPr>
        <w:t>x</w:t>
      </w:r>
      <w:r>
        <w:rPr>
          <w:rFonts w:ascii="Arial" w:hAnsi="Arial" w:cs="Arial"/>
          <w:lang w:val="en-US"/>
        </w:rPr>
        <w:t xml:space="preserve"> befor</w:t>
      </w:r>
      <w:r w:rsidRPr="008E4F2F">
        <w:rPr>
          <w:rFonts w:ascii="Arial" w:hAnsi="Arial" w:cs="Arial"/>
          <w:lang w:val="en-US"/>
        </w:rPr>
        <w:t>e execution of the PSCell change, UE logs SPR for the</w:t>
      </w:r>
      <w:r>
        <w:rPr>
          <w:rFonts w:ascii="Arial" w:hAnsi="Arial" w:cs="Arial"/>
          <w:lang w:val="en-US"/>
        </w:rPr>
        <w:t xml:space="preserve"> executed</w:t>
      </w:r>
      <w:r w:rsidRPr="008E4F2F">
        <w:rPr>
          <w:rFonts w:ascii="Arial" w:hAnsi="Arial" w:cs="Arial"/>
          <w:lang w:val="en-US"/>
        </w:rPr>
        <w:t xml:space="preserve"> PSCell change. Please note that the MN does not need to know the exact value of the T310 and T312 timer values to request the UE to trigger the SPR when such timers are running at the </w:t>
      </w:r>
      <w:r>
        <w:rPr>
          <w:rFonts w:ascii="Arial" w:hAnsi="Arial" w:cs="Arial"/>
          <w:lang w:val="en-US"/>
        </w:rPr>
        <w:t xml:space="preserve">UE in a </w:t>
      </w:r>
      <w:r w:rsidRPr="008E4F2F">
        <w:rPr>
          <w:rFonts w:ascii="Arial" w:hAnsi="Arial" w:cs="Arial"/>
          <w:lang w:val="en-US"/>
        </w:rPr>
        <w:t xml:space="preserve">source PSCell i.e., when </w:t>
      </w:r>
      <w:r>
        <w:rPr>
          <w:rFonts w:ascii="Arial" w:hAnsi="Arial" w:cs="Arial"/>
          <w:lang w:val="en-US"/>
        </w:rPr>
        <w:t xml:space="preserve">a UE in the </w:t>
      </w:r>
      <w:r w:rsidRPr="008E4F2F">
        <w:rPr>
          <w:rFonts w:ascii="Arial" w:hAnsi="Arial" w:cs="Arial"/>
          <w:lang w:val="en-US"/>
        </w:rPr>
        <w:t>source PSCell is close to failure.</w:t>
      </w:r>
    </w:p>
    <w:p w14:paraId="33C4816C" w14:textId="77777777" w:rsidR="00080B55" w:rsidRPr="00E34F68" w:rsidRDefault="00080B55" w:rsidP="00080B55">
      <w:pPr>
        <w:pStyle w:val="Proposal"/>
        <w:tabs>
          <w:tab w:val="num" w:pos="1304"/>
        </w:tabs>
      </w:pPr>
      <w:bookmarkStart w:id="39" w:name="_Toc127468546"/>
      <w:bookmarkStart w:id="40" w:name="_Toc134720870"/>
      <w:r>
        <w:rPr>
          <w:lang w:val="en-US"/>
        </w:rPr>
        <w:t>For the MN initiated PSCell change MN configures only a single threshold value</w:t>
      </w:r>
      <w:r w:rsidRPr="008E4F2F">
        <w:rPr>
          <w:lang w:val="en-US"/>
        </w:rPr>
        <w:t xml:space="preserve"> for T310 and T312 </w:t>
      </w:r>
      <w:r>
        <w:rPr>
          <w:lang w:val="en-US"/>
        </w:rPr>
        <w:t>thresholds (instead of having a list of percentage values)</w:t>
      </w:r>
      <w:r w:rsidRPr="008E4F2F">
        <w:rPr>
          <w:lang w:val="en-US"/>
        </w:rPr>
        <w:t>to trigger SPR</w:t>
      </w:r>
      <w:r>
        <w:rPr>
          <w:lang w:val="en-US"/>
        </w:rPr>
        <w:t>. UE logs SPR</w:t>
      </w:r>
      <w:r w:rsidRPr="008E4F2F">
        <w:rPr>
          <w:lang w:val="en-US"/>
        </w:rPr>
        <w:t xml:space="preserve"> if the timer T310 or T312</w:t>
      </w:r>
      <w:r>
        <w:rPr>
          <w:lang w:val="en-US"/>
        </w:rPr>
        <w:t xml:space="preserve"> of the source PSCell</w:t>
      </w:r>
      <w:r w:rsidRPr="008E4F2F">
        <w:rPr>
          <w:lang w:val="en-US"/>
        </w:rPr>
        <w:t xml:space="preserve"> </w:t>
      </w:r>
      <w:r>
        <w:rPr>
          <w:lang w:val="en-US"/>
        </w:rPr>
        <w:t>exceeds the threshold during</w:t>
      </w:r>
      <w:r w:rsidRPr="008E4F2F">
        <w:rPr>
          <w:lang w:val="en-US"/>
        </w:rPr>
        <w:t xml:space="preserve"> execution of the PSCell change</w:t>
      </w:r>
      <w:r w:rsidRPr="008E4F2F">
        <w:t>.</w:t>
      </w:r>
      <w:bookmarkEnd w:id="39"/>
      <w:bookmarkEnd w:id="40"/>
    </w:p>
    <w:p w14:paraId="14A5E7A6" w14:textId="77777777" w:rsidR="00080B55" w:rsidRDefault="00080B55" w:rsidP="00080B55">
      <w:pPr>
        <w:jc w:val="both"/>
        <w:rPr>
          <w:rFonts w:ascii="Arial" w:hAnsi="Arial" w:cs="Arial"/>
          <w:lang w:val="en-US"/>
        </w:rPr>
      </w:pPr>
      <w:r>
        <w:rPr>
          <w:rFonts w:ascii="Arial" w:hAnsi="Arial" w:cs="Arial"/>
          <w:lang w:val="en-US"/>
        </w:rPr>
        <w:t>On the other hand, since SPR is collected possibly up to 48 hours of generation, it is important for the network to understand which node initiated the PSCell change procedure, since that node would possibly be required to optimize its configuration. A feasible solution is to receive such information from the UE in SPR. However, for SRB1 based configuration, it is not possible for the UE to identify if MN or SN initiated the PSCell change procedure. In order to aid the UE, network can include the node initiating PSCell change procedure information in the SPR configuration.</w:t>
      </w:r>
    </w:p>
    <w:p w14:paraId="3BB495DC" w14:textId="77777777" w:rsidR="00080B55" w:rsidRPr="00E37D2A" w:rsidRDefault="00080B55" w:rsidP="00080B55">
      <w:pPr>
        <w:pStyle w:val="Proposal"/>
        <w:tabs>
          <w:tab w:val="num" w:pos="1304"/>
        </w:tabs>
        <w:rPr>
          <w:rFonts w:cs="Arial"/>
          <w:lang w:val="en-US"/>
        </w:rPr>
      </w:pPr>
      <w:bookmarkStart w:id="41" w:name="_Toc134720871"/>
      <w:r>
        <w:t>Network includes a flag in the SPR configuration if the PSCell change procedure is MN initiated or SN initiated.</w:t>
      </w:r>
      <w:bookmarkEnd w:id="41"/>
    </w:p>
    <w:p w14:paraId="19E5E880" w14:textId="77777777" w:rsidR="00080B55" w:rsidRPr="004A3C93" w:rsidRDefault="00080B55" w:rsidP="00080B55">
      <w:pPr>
        <w:pStyle w:val="Proposal"/>
        <w:tabs>
          <w:tab w:val="num" w:pos="1304"/>
        </w:tabs>
        <w:rPr>
          <w:rFonts w:cs="Arial"/>
          <w:lang w:val="en-US"/>
        </w:rPr>
      </w:pPr>
      <w:bookmarkStart w:id="42" w:name="_Toc134720872"/>
      <w:r>
        <w:t>UE logs an indication in the SPR that the PSCell chenage led to the SPR was MN initiated or SN initiated.</w:t>
      </w:r>
      <w:bookmarkEnd w:id="42"/>
    </w:p>
    <w:p w14:paraId="2415263B" w14:textId="77777777" w:rsidR="00080B55" w:rsidRPr="008E4F2F" w:rsidRDefault="00080B55" w:rsidP="00080B55">
      <w:pPr>
        <w:jc w:val="both"/>
        <w:rPr>
          <w:rFonts w:ascii="Arial" w:hAnsi="Arial" w:cs="Arial"/>
          <w:lang w:val="en-US"/>
        </w:rPr>
      </w:pPr>
      <w:r w:rsidRPr="008E4F2F">
        <w:rPr>
          <w:rFonts w:ascii="Arial" w:hAnsi="Arial" w:cs="Arial"/>
          <w:lang w:val="en-US"/>
        </w:rPr>
        <w:t xml:space="preserve">In addition, the </w:t>
      </w:r>
      <w:r w:rsidRPr="008E4F2F">
        <w:rPr>
          <w:rFonts w:ascii="Arial" w:hAnsi="Arial" w:cs="Arial"/>
          <w:u w:val="single"/>
          <w:lang w:val="en-US"/>
        </w:rPr>
        <w:t>conditional</w:t>
      </w:r>
      <w:r w:rsidRPr="008E4F2F">
        <w:rPr>
          <w:rFonts w:ascii="Arial" w:hAnsi="Arial" w:cs="Arial"/>
          <w:lang w:val="en-US"/>
        </w:rPr>
        <w:t xml:space="preserve"> PS</w:t>
      </w:r>
      <w:r>
        <w:rPr>
          <w:rFonts w:ascii="Arial" w:hAnsi="Arial" w:cs="Arial"/>
          <w:lang w:val="en-US"/>
        </w:rPr>
        <w:t>C</w:t>
      </w:r>
      <w:r w:rsidRPr="008E4F2F">
        <w:rPr>
          <w:rFonts w:ascii="Arial" w:hAnsi="Arial" w:cs="Arial"/>
          <w:lang w:val="en-US"/>
        </w:rPr>
        <w:t xml:space="preserve">ell change, or addition is also to be considered in the SPR discussion. We think optimizations concerning the conditional reconfiguration for the PSCell change/addition can be taken into account. For example, configuring two events for conditional reconfiguration is a delicate task for the network as setting to sub-optimal values can cause the configuration to be lingering at the UE for a long time. Hence the time between triggering two events (e.g., A3 and A5 events) configured for conditional reconfiguration for PSCell, can be subject to optimization and SPR can be generated for conditional reconfiguration in case the time between fulfilling both events is above a certain threshold. </w:t>
      </w:r>
    </w:p>
    <w:p w14:paraId="5A6873F5" w14:textId="77777777" w:rsidR="00080B55" w:rsidRPr="008E4F2F" w:rsidRDefault="00080B55" w:rsidP="00080B55">
      <w:pPr>
        <w:pStyle w:val="Observation"/>
        <w:numPr>
          <w:ilvl w:val="0"/>
          <w:numId w:val="34"/>
        </w:numPr>
        <w:rPr>
          <w:rFonts w:cs="Arial"/>
          <w:lang w:val="en-US"/>
        </w:rPr>
      </w:pPr>
      <w:bookmarkStart w:id="43" w:name="_Toc127468594"/>
      <w:bookmarkStart w:id="44" w:name="_Toc134708809"/>
      <w:bookmarkStart w:id="45" w:name="_Toc134708822"/>
      <w:bookmarkStart w:id="46" w:name="_Toc134720853"/>
      <w:r w:rsidRPr="008E4F2F">
        <w:rPr>
          <w:lang w:val="en-US"/>
        </w:rPr>
        <w:t>Setting two events for conditional PSCell change/addition is a delicate task and sub-optimal configuration may lead to sub-optimal performance of PSCell change/addition operation.</w:t>
      </w:r>
      <w:bookmarkEnd w:id="43"/>
      <w:bookmarkEnd w:id="44"/>
      <w:bookmarkEnd w:id="45"/>
      <w:bookmarkEnd w:id="46"/>
    </w:p>
    <w:p w14:paraId="743565A0" w14:textId="77777777" w:rsidR="00080B55" w:rsidRPr="00F27A85" w:rsidRDefault="00080B55" w:rsidP="00080B55">
      <w:pPr>
        <w:pStyle w:val="Observation"/>
        <w:numPr>
          <w:ilvl w:val="0"/>
          <w:numId w:val="34"/>
        </w:numPr>
        <w:rPr>
          <w:rFonts w:cs="Arial"/>
          <w:lang w:val="en-US"/>
        </w:rPr>
      </w:pPr>
      <w:bookmarkStart w:id="47" w:name="_Toc127468595"/>
      <w:bookmarkStart w:id="48" w:name="_Toc134708810"/>
      <w:bookmarkStart w:id="49" w:name="_Toc134708823"/>
      <w:bookmarkStart w:id="50" w:name="_Toc134720854"/>
      <w:r w:rsidRPr="008E4F2F">
        <w:rPr>
          <w:lang w:val="en-US"/>
        </w:rPr>
        <w:t xml:space="preserve">The time elapsed between fulfilling first and second events (e.g., A3 and A5 events) configured as part of conditional CPAC </w:t>
      </w:r>
      <w:r>
        <w:rPr>
          <w:lang w:val="en-US"/>
        </w:rPr>
        <w:t>is</w:t>
      </w:r>
      <w:r w:rsidRPr="008E4F2F">
        <w:rPr>
          <w:lang w:val="en-US"/>
        </w:rPr>
        <w:t xml:space="preserve"> subject to optimization.</w:t>
      </w:r>
      <w:bookmarkEnd w:id="47"/>
      <w:bookmarkEnd w:id="48"/>
      <w:bookmarkEnd w:id="49"/>
      <w:bookmarkEnd w:id="50"/>
    </w:p>
    <w:p w14:paraId="3F88B358" w14:textId="77777777" w:rsidR="00080B55" w:rsidRPr="008E4F2F" w:rsidRDefault="00080B55" w:rsidP="00080B55">
      <w:pPr>
        <w:jc w:val="both"/>
        <w:rPr>
          <w:rFonts w:ascii="Arial" w:hAnsi="Arial" w:cs="Arial"/>
          <w:lang w:val="en-US"/>
        </w:rPr>
      </w:pPr>
      <w:r w:rsidRPr="008E4F2F">
        <w:rPr>
          <w:rFonts w:ascii="Arial" w:hAnsi="Arial" w:cs="Arial"/>
          <w:lang w:val="en-US"/>
        </w:rPr>
        <w:t xml:space="preserve">In addition, the time elapsed </w:t>
      </w:r>
      <w:r>
        <w:rPr>
          <w:rFonts w:ascii="Arial" w:hAnsi="Arial" w:cs="Arial"/>
          <w:lang w:val="en-US"/>
        </w:rPr>
        <w:t>from</w:t>
      </w:r>
      <w:r w:rsidRPr="008E4F2F">
        <w:rPr>
          <w:rFonts w:ascii="Arial" w:hAnsi="Arial" w:cs="Arial"/>
          <w:lang w:val="en-US"/>
        </w:rPr>
        <w:t xml:space="preserve"> receiving of the CPAC configuration to the time of execution of CPAC is yet another important parameter to optimize. </w:t>
      </w:r>
    </w:p>
    <w:p w14:paraId="7A55197F" w14:textId="77777777" w:rsidR="00080B55" w:rsidRPr="00F27A85" w:rsidRDefault="00080B55" w:rsidP="00080B55">
      <w:pPr>
        <w:pStyle w:val="Observation"/>
        <w:numPr>
          <w:ilvl w:val="0"/>
          <w:numId w:val="34"/>
        </w:numPr>
        <w:rPr>
          <w:rFonts w:cs="Arial"/>
          <w:lang w:val="en-US"/>
        </w:rPr>
      </w:pPr>
      <w:bookmarkStart w:id="51" w:name="_Toc127468596"/>
      <w:bookmarkStart w:id="52" w:name="_Toc134708811"/>
      <w:bookmarkStart w:id="53" w:name="_Toc134708824"/>
      <w:bookmarkStart w:id="54" w:name="_Toc134720855"/>
      <w:r w:rsidRPr="008E4F2F">
        <w:rPr>
          <w:lang w:val="en-US"/>
        </w:rPr>
        <w:t xml:space="preserve">The time elapsed </w:t>
      </w:r>
      <w:r>
        <w:rPr>
          <w:lang w:val="en-US"/>
        </w:rPr>
        <w:t>from</w:t>
      </w:r>
      <w:r w:rsidRPr="008E4F2F">
        <w:rPr>
          <w:lang w:val="en-US"/>
        </w:rPr>
        <w:t xml:space="preserve"> receiving the CPAC configuration to the time of CPAC execution can be subject to optimization.</w:t>
      </w:r>
      <w:bookmarkEnd w:id="51"/>
      <w:bookmarkEnd w:id="52"/>
      <w:bookmarkEnd w:id="53"/>
      <w:bookmarkEnd w:id="54"/>
    </w:p>
    <w:p w14:paraId="2DC017DF" w14:textId="77777777" w:rsidR="00080B55" w:rsidRPr="008E4F2F" w:rsidRDefault="00080B55" w:rsidP="00080B55">
      <w:pPr>
        <w:jc w:val="both"/>
        <w:rPr>
          <w:rFonts w:ascii="Arial" w:hAnsi="Arial" w:cs="Arial"/>
          <w:lang w:val="en-US"/>
        </w:rPr>
      </w:pPr>
      <w:r w:rsidRPr="008E4F2F">
        <w:rPr>
          <w:rFonts w:ascii="Arial" w:hAnsi="Arial" w:cs="Arial"/>
          <w:lang w:val="en-US"/>
        </w:rPr>
        <w:t xml:space="preserve">Moreover, in NR-U, UE may experience LBT issues during a successful PSCell change and such information would be valuable to network. Thus, we think the UE can trigger SPR when experiencing LBT issues during </w:t>
      </w:r>
      <w:r>
        <w:rPr>
          <w:rFonts w:ascii="Arial" w:hAnsi="Arial" w:cs="Arial"/>
          <w:lang w:val="en-US"/>
        </w:rPr>
        <w:t>PSCell change/addition execution</w:t>
      </w:r>
      <w:r w:rsidRPr="008E4F2F">
        <w:rPr>
          <w:rFonts w:ascii="Arial" w:hAnsi="Arial" w:cs="Arial"/>
          <w:lang w:val="en-US"/>
        </w:rPr>
        <w:t>.</w:t>
      </w:r>
    </w:p>
    <w:p w14:paraId="3D608DDE" w14:textId="77777777" w:rsidR="00080B55" w:rsidRPr="00F27A85" w:rsidRDefault="00080B55" w:rsidP="00080B55">
      <w:pPr>
        <w:pStyle w:val="Observation"/>
        <w:numPr>
          <w:ilvl w:val="0"/>
          <w:numId w:val="34"/>
        </w:numPr>
        <w:rPr>
          <w:rFonts w:cs="Arial"/>
          <w:lang w:val="en-US"/>
        </w:rPr>
      </w:pPr>
      <w:bookmarkStart w:id="55" w:name="_Toc127468597"/>
      <w:bookmarkStart w:id="56" w:name="_Toc134708812"/>
      <w:bookmarkStart w:id="57" w:name="_Toc134708825"/>
      <w:bookmarkStart w:id="58" w:name="_Toc134720856"/>
      <w:r w:rsidRPr="008E4F2F">
        <w:rPr>
          <w:lang w:val="en-US"/>
        </w:rPr>
        <w:t>When the UE is in dual connectivity with a NR-U PSCell the UE can log SPR when it experiences LBT issue during</w:t>
      </w:r>
      <w:r>
        <w:rPr>
          <w:lang w:val="en-US"/>
        </w:rPr>
        <w:t xml:space="preserve"> PSCell change/addition</w:t>
      </w:r>
      <w:r w:rsidRPr="008E4F2F" w:rsidDel="00EA6E10">
        <w:rPr>
          <w:lang w:val="en-US"/>
        </w:rPr>
        <w:t xml:space="preserve"> </w:t>
      </w:r>
      <w:r w:rsidRPr="008E4F2F">
        <w:rPr>
          <w:lang w:val="en-US"/>
        </w:rPr>
        <w:t>operation.</w:t>
      </w:r>
      <w:bookmarkEnd w:id="55"/>
      <w:bookmarkEnd w:id="56"/>
      <w:bookmarkEnd w:id="57"/>
      <w:bookmarkEnd w:id="58"/>
      <w:r w:rsidRPr="00F27A85">
        <w:rPr>
          <w:rFonts w:cs="Arial"/>
          <w:lang w:val="en-US"/>
        </w:rPr>
        <w:br/>
      </w:r>
    </w:p>
    <w:p w14:paraId="3C2F5EE8" w14:textId="77777777" w:rsidR="00080B55" w:rsidRDefault="00080B55" w:rsidP="00080B55">
      <w:pPr>
        <w:pStyle w:val="Proposal"/>
        <w:tabs>
          <w:tab w:val="num" w:pos="1304"/>
        </w:tabs>
      </w:pPr>
      <w:bookmarkStart w:id="59" w:name="_Toc127468547"/>
      <w:bookmarkStart w:id="60" w:name="_Toc134720873"/>
      <w:r w:rsidRPr="008E4F2F">
        <w:t>SPR is triggered based on the following additional trigge</w:t>
      </w:r>
      <w:r>
        <w:t>rs</w:t>
      </w:r>
      <w:r w:rsidRPr="008E4F2F">
        <w:t>:</w:t>
      </w:r>
      <w:r w:rsidRPr="008E4F2F">
        <w:br/>
        <w:t xml:space="preserve">- time between CPAC </w:t>
      </w:r>
      <w:r>
        <w:t>triggering</w:t>
      </w:r>
      <w:r w:rsidRPr="008E4F2F">
        <w:t xml:space="preserve"> threshold</w:t>
      </w:r>
      <w:r>
        <w:t xml:space="preserve"> </w:t>
      </w:r>
      <w:r w:rsidRPr="008E4F2F">
        <w:br/>
        <w:t>- time between receiving CPAC configuration to the execution of the CPAC</w:t>
      </w:r>
      <w:r w:rsidRPr="008E4F2F">
        <w:br/>
        <w:t xml:space="preserve">- Experiencing LBT issues during </w:t>
      </w:r>
      <w:r>
        <w:t>PSCell change/addition</w:t>
      </w:r>
      <w:r w:rsidRPr="008E4F2F">
        <w:t xml:space="preserve"> execution</w:t>
      </w:r>
      <w:bookmarkEnd w:id="59"/>
      <w:bookmarkEnd w:id="60"/>
    </w:p>
    <w:p w14:paraId="0058BB48" w14:textId="7273553A" w:rsidR="00080B55" w:rsidRPr="008032D7" w:rsidRDefault="005B6815" w:rsidP="00080B55">
      <w:pPr>
        <w:pStyle w:val="Heading2"/>
        <w:rPr>
          <w:rFonts w:cs="Arial"/>
        </w:rPr>
      </w:pPr>
      <w:r>
        <w:t>3</w:t>
      </w:r>
      <w:r w:rsidR="00080B55">
        <w:t xml:space="preserve">.2 </w:t>
      </w:r>
      <w:r w:rsidR="00080B55" w:rsidRPr="008E4F2F">
        <w:t xml:space="preserve">SPR </w:t>
      </w:r>
      <w:r w:rsidR="00080B55" w:rsidRPr="008032D7">
        <w:rPr>
          <w:rFonts w:cs="Arial"/>
        </w:rPr>
        <w:t>reporting mechanism:</w:t>
      </w:r>
    </w:p>
    <w:p w14:paraId="67157A31" w14:textId="77777777" w:rsidR="00080B55" w:rsidRPr="008E4F2F" w:rsidRDefault="00080B55" w:rsidP="00080B55">
      <w:pPr>
        <w:jc w:val="both"/>
        <w:rPr>
          <w:rFonts w:ascii="Arial" w:hAnsi="Arial" w:cs="Arial"/>
        </w:rPr>
      </w:pPr>
      <w:r w:rsidRPr="008E4F2F">
        <w:rPr>
          <w:rFonts w:ascii="Arial" w:hAnsi="Arial" w:cs="Arial"/>
        </w:rPr>
        <w:t xml:space="preserve">In RAN2#120 meeting, it was agreed that MN would be collecting SPR from UE. Hence, it would be less complex to re-use existing UE information request/response framework to collect the report.Under the mechanism, UE sends an indication of report availability as part of RRC complete message and to inform the </w:t>
      </w:r>
      <w:r w:rsidRPr="008E4F2F">
        <w:rPr>
          <w:rFonts w:ascii="Arial" w:hAnsi="Arial" w:cs="Arial"/>
        </w:rPr>
        <w:lastRenderedPageBreak/>
        <w:t xml:space="preserve">network. Network can further request the UE to send the report in </w:t>
      </w:r>
      <w:r w:rsidRPr="008E4F2F">
        <w:rPr>
          <w:rFonts w:ascii="Arial" w:hAnsi="Arial" w:cs="Arial"/>
          <w:i/>
          <w:iCs/>
        </w:rPr>
        <w:t>UEInformationRequest</w:t>
      </w:r>
      <w:r w:rsidRPr="008E4F2F">
        <w:rPr>
          <w:rFonts w:ascii="Arial" w:hAnsi="Arial" w:cs="Arial"/>
        </w:rPr>
        <w:t xml:space="preserve"> IE and UE complies with </w:t>
      </w:r>
      <w:r w:rsidRPr="008E4F2F">
        <w:rPr>
          <w:rFonts w:ascii="Arial" w:hAnsi="Arial" w:cs="Arial"/>
          <w:i/>
          <w:iCs/>
        </w:rPr>
        <w:t>UEInformationResponse</w:t>
      </w:r>
      <w:r w:rsidRPr="008E4F2F">
        <w:rPr>
          <w:rFonts w:ascii="Arial" w:hAnsi="Arial" w:cs="Arial"/>
        </w:rPr>
        <w:t xml:space="preserve"> message.</w:t>
      </w:r>
    </w:p>
    <w:p w14:paraId="3DFD9D1E" w14:textId="77777777" w:rsidR="00080B55" w:rsidRPr="00E51F80" w:rsidRDefault="00080B55" w:rsidP="00080B55">
      <w:pPr>
        <w:pStyle w:val="Proposal"/>
        <w:tabs>
          <w:tab w:val="num" w:pos="1304"/>
        </w:tabs>
        <w:rPr>
          <w:rFonts w:cs="Arial"/>
        </w:rPr>
      </w:pPr>
      <w:bookmarkStart w:id="61" w:name="_Toc127468549"/>
      <w:bookmarkStart w:id="62" w:name="_Toc134720874"/>
      <w:r w:rsidRPr="008E4F2F">
        <w:rPr>
          <w:lang w:val="en-US"/>
        </w:rPr>
        <w:t xml:space="preserve">Network collects the SPR from UE using </w:t>
      </w:r>
      <w:r w:rsidRPr="008E4F2F">
        <w:rPr>
          <w:i/>
          <w:iCs/>
          <w:lang w:val="en-US"/>
        </w:rPr>
        <w:t>UEInformationRequest</w:t>
      </w:r>
      <w:r w:rsidRPr="008E4F2F">
        <w:rPr>
          <w:lang w:val="en-US"/>
        </w:rPr>
        <w:t>/</w:t>
      </w:r>
      <w:r w:rsidRPr="008E4F2F">
        <w:rPr>
          <w:i/>
          <w:iCs/>
          <w:lang w:val="en-US"/>
        </w:rPr>
        <w:t>UEinformationRespose</w:t>
      </w:r>
      <w:r w:rsidRPr="008E4F2F">
        <w:rPr>
          <w:lang w:val="en-US"/>
        </w:rPr>
        <w:t xml:space="preserve"> messages.</w:t>
      </w:r>
      <w:bookmarkEnd w:id="61"/>
      <w:bookmarkEnd w:id="62"/>
    </w:p>
    <w:p w14:paraId="45815EAA" w14:textId="77777777" w:rsidR="00080B55" w:rsidRDefault="00080B55" w:rsidP="00080B55">
      <w:pPr>
        <w:rPr>
          <w:rFonts w:ascii="Arial" w:hAnsi="Arial" w:cs="Arial"/>
        </w:rPr>
      </w:pPr>
      <w:r>
        <w:rPr>
          <w:rFonts w:ascii="Arial" w:hAnsi="Arial" w:cs="Arial"/>
        </w:rPr>
        <w:t>Moreover, since UEs will store SPR configuration for 48 hours until network fetching it, like RLF report, UE needs to indicate to network regarding the availability of SPR in the UE. However, this requires a decision at which RRC complete messages UE would inform the network.</w:t>
      </w:r>
    </w:p>
    <w:p w14:paraId="0F1986A3" w14:textId="77777777" w:rsidR="00080B55" w:rsidRPr="00E51F80" w:rsidRDefault="00080B55" w:rsidP="00080B55">
      <w:pPr>
        <w:pStyle w:val="Proposal"/>
        <w:tabs>
          <w:tab w:val="num" w:pos="1304"/>
        </w:tabs>
        <w:rPr>
          <w:rFonts w:cs="Arial"/>
        </w:rPr>
      </w:pPr>
      <w:bookmarkStart w:id="63" w:name="_Toc134720875"/>
      <w:r>
        <w:rPr>
          <w:lang w:val="en-US"/>
        </w:rPr>
        <w:t>UE indicates availability of SPR report to the network in the following RRC messages:</w:t>
      </w:r>
      <w:bookmarkEnd w:id="63"/>
    </w:p>
    <w:p w14:paraId="614EDDC0" w14:textId="77777777" w:rsidR="00080B55" w:rsidRPr="00E51F80" w:rsidRDefault="00080B55" w:rsidP="00080B55">
      <w:pPr>
        <w:pStyle w:val="Proposal"/>
        <w:numPr>
          <w:ilvl w:val="1"/>
          <w:numId w:val="30"/>
        </w:numPr>
        <w:rPr>
          <w:rFonts w:cs="Arial"/>
          <w:i/>
          <w:iCs/>
        </w:rPr>
      </w:pPr>
      <w:bookmarkStart w:id="64" w:name="_Toc134720876"/>
      <w:r w:rsidRPr="00E51F80">
        <w:rPr>
          <w:i/>
          <w:iCs/>
          <w:lang w:val="en-US"/>
        </w:rPr>
        <w:t>RRCReconfigurationComplete</w:t>
      </w:r>
      <w:bookmarkEnd w:id="64"/>
    </w:p>
    <w:p w14:paraId="299DF3FB" w14:textId="77777777" w:rsidR="00080B55" w:rsidRPr="00E51F80" w:rsidRDefault="00080B55" w:rsidP="00080B55">
      <w:pPr>
        <w:pStyle w:val="Proposal"/>
        <w:numPr>
          <w:ilvl w:val="1"/>
          <w:numId w:val="30"/>
        </w:numPr>
        <w:rPr>
          <w:rFonts w:cs="Arial"/>
          <w:i/>
          <w:iCs/>
        </w:rPr>
      </w:pPr>
      <w:bookmarkStart w:id="65" w:name="_Toc134720877"/>
      <w:r w:rsidRPr="00E51F80">
        <w:rPr>
          <w:i/>
          <w:iCs/>
          <w:lang w:val="en-US"/>
        </w:rPr>
        <w:t>RRCSetupComplete</w:t>
      </w:r>
      <w:bookmarkEnd w:id="65"/>
    </w:p>
    <w:p w14:paraId="2BA5A6DF" w14:textId="77777777" w:rsidR="00080B55" w:rsidRPr="00E51F80" w:rsidRDefault="00080B55" w:rsidP="00080B55">
      <w:pPr>
        <w:pStyle w:val="Proposal"/>
        <w:numPr>
          <w:ilvl w:val="1"/>
          <w:numId w:val="30"/>
        </w:numPr>
        <w:rPr>
          <w:rFonts w:cs="Arial"/>
          <w:i/>
          <w:iCs/>
        </w:rPr>
      </w:pPr>
      <w:bookmarkStart w:id="66" w:name="_Toc134720878"/>
      <w:r w:rsidRPr="00E51F80">
        <w:rPr>
          <w:i/>
          <w:iCs/>
          <w:lang w:val="en-US"/>
        </w:rPr>
        <w:t>RRCResumeComplete</w:t>
      </w:r>
      <w:bookmarkEnd w:id="66"/>
    </w:p>
    <w:p w14:paraId="0CFF85D1" w14:textId="77777777" w:rsidR="00080B55" w:rsidRPr="00831A21" w:rsidRDefault="00080B55" w:rsidP="00080B55">
      <w:pPr>
        <w:pStyle w:val="Proposal"/>
        <w:numPr>
          <w:ilvl w:val="1"/>
          <w:numId w:val="30"/>
        </w:numPr>
        <w:rPr>
          <w:rFonts w:cs="Arial"/>
          <w:i/>
          <w:iCs/>
        </w:rPr>
      </w:pPr>
      <w:bookmarkStart w:id="67" w:name="_Toc134720879"/>
      <w:r w:rsidRPr="00E51F80">
        <w:rPr>
          <w:i/>
          <w:iCs/>
          <w:lang w:val="en-US"/>
        </w:rPr>
        <w:t>RRCReestablishmentComplete</w:t>
      </w:r>
      <w:bookmarkEnd w:id="67"/>
    </w:p>
    <w:p w14:paraId="41BD5D5F" w14:textId="77777777" w:rsidR="00080B55" w:rsidRDefault="00080B55" w:rsidP="00080B55">
      <w:pPr>
        <w:rPr>
          <w:rFonts w:ascii="Arial" w:hAnsi="Arial" w:cs="Arial"/>
        </w:rPr>
      </w:pPr>
      <w:r>
        <w:rPr>
          <w:rFonts w:ascii="Arial" w:hAnsi="Arial" w:cs="Arial"/>
        </w:rPr>
        <w:t>Furthermore, UE needs to check the PLMN identity of the network before sending any SPR availability notification to it.</w:t>
      </w:r>
    </w:p>
    <w:p w14:paraId="18B3D311" w14:textId="77777777" w:rsidR="00080B55" w:rsidRPr="00831A21" w:rsidRDefault="00080B55" w:rsidP="00080B55">
      <w:pPr>
        <w:pStyle w:val="Proposal"/>
        <w:tabs>
          <w:tab w:val="num" w:pos="1304"/>
        </w:tabs>
        <w:rPr>
          <w:rFonts w:cs="Arial"/>
        </w:rPr>
      </w:pPr>
      <w:bookmarkStart w:id="68" w:name="_Toc134720880"/>
      <w:r w:rsidRPr="00831A21">
        <w:rPr>
          <w:lang w:val="en-US"/>
        </w:rPr>
        <w:t>UE performs PLMN identity check before indicating SPR availability to the network.</w:t>
      </w:r>
      <w:bookmarkEnd w:id="68"/>
    </w:p>
    <w:p w14:paraId="45B4E694" w14:textId="183CB137" w:rsidR="00080B55" w:rsidRPr="008E4F2F" w:rsidRDefault="005B6815" w:rsidP="00080B55">
      <w:pPr>
        <w:pStyle w:val="Heading2"/>
        <w:rPr>
          <w:rFonts w:cs="Arial"/>
          <w:b/>
          <w:bCs/>
          <w:u w:val="single"/>
        </w:rPr>
      </w:pPr>
      <w:r>
        <w:t>3</w:t>
      </w:r>
      <w:r w:rsidR="00080B55">
        <w:t xml:space="preserve">.3 </w:t>
      </w:r>
      <w:r w:rsidR="00080B55" w:rsidRPr="008E4F2F">
        <w:t>Content of the SPR</w:t>
      </w:r>
    </w:p>
    <w:p w14:paraId="47FE8678" w14:textId="77777777" w:rsidR="00080B55" w:rsidRPr="008E4F2F" w:rsidRDefault="00080B55" w:rsidP="00080B55">
      <w:pPr>
        <w:jc w:val="both"/>
        <w:rPr>
          <w:rFonts w:ascii="Arial" w:hAnsi="Arial" w:cs="Arial"/>
        </w:rPr>
      </w:pPr>
      <w:r>
        <w:rPr>
          <w:rFonts w:ascii="Arial" w:hAnsi="Arial" w:cs="Arial"/>
        </w:rPr>
        <w:t>I</w:t>
      </w:r>
      <w:r w:rsidRPr="008E4F2F">
        <w:rPr>
          <w:rFonts w:ascii="Arial" w:hAnsi="Arial" w:cs="Arial"/>
        </w:rPr>
        <w:t xml:space="preserve">nclusion of random-access related information was agreed to be part of SPR if the latter is collected due to T304 triggering condition. However, other cases were left for further studies. We’d like to note that in NR-U, UEs can have consistent LBT failure in BWP and change to a different BWP and perform successful RACH operation in the new BWP. Thus, RACH information should be included in the SPR if UE experiences consistent LBT failure. </w:t>
      </w:r>
    </w:p>
    <w:p w14:paraId="0A79871C" w14:textId="77777777" w:rsidR="00080B55" w:rsidRDefault="00080B55" w:rsidP="00080B55">
      <w:pPr>
        <w:jc w:val="both"/>
        <w:rPr>
          <w:rFonts w:ascii="Arial" w:hAnsi="Arial" w:cs="Arial"/>
        </w:rPr>
      </w:pPr>
      <w:bookmarkStart w:id="69" w:name="_Hlk126598062"/>
      <w:r>
        <w:rPr>
          <w:rFonts w:ascii="Arial" w:hAnsi="Arial" w:cs="Arial"/>
        </w:rPr>
        <w:t>Moreover, UE stores SPR up to 48 hours if network doesn’t fetch it. Within the timeframe, UE may have moved to a different node or may have received multiple SPR configuration from the network. Thus, similar to CEF and RLF reports, it is important that the UE logs the time between SPR report generation and fetching by the network.</w:t>
      </w:r>
    </w:p>
    <w:p w14:paraId="7340E4A8" w14:textId="77777777" w:rsidR="00080B55" w:rsidRDefault="00080B55" w:rsidP="00080B55">
      <w:pPr>
        <w:jc w:val="both"/>
        <w:rPr>
          <w:rFonts w:ascii="Arial" w:hAnsi="Arial" w:cs="Arial"/>
        </w:rPr>
      </w:pPr>
      <w:r>
        <w:rPr>
          <w:rFonts w:ascii="Arial" w:hAnsi="Arial" w:cs="Arial"/>
        </w:rPr>
        <w:t>On the other hand, in RAN3#119bis-e meeting, the following was agreed-</w:t>
      </w:r>
    </w:p>
    <w:p w14:paraId="1B90F6AC" w14:textId="77777777" w:rsidR="00080B55" w:rsidRPr="008E4F2F" w:rsidRDefault="00080B55" w:rsidP="00080B55">
      <w:pPr>
        <w:pBdr>
          <w:top w:val="single" w:sz="4" w:space="1" w:color="auto"/>
          <w:left w:val="single" w:sz="4" w:space="4" w:color="auto"/>
          <w:bottom w:val="single" w:sz="4" w:space="1" w:color="auto"/>
          <w:right w:val="single" w:sz="4" w:space="4" w:color="auto"/>
        </w:pBdr>
        <w:jc w:val="both"/>
        <w:rPr>
          <w:rFonts w:ascii="Arial" w:hAnsi="Arial" w:cs="Arial"/>
        </w:rPr>
      </w:pPr>
      <w:r w:rsidRPr="006E6977">
        <w:rPr>
          <w:rFonts w:ascii="Arial" w:hAnsi="Arial" w:cs="Arial"/>
        </w:rPr>
        <w:t>To identify the UE context in the old source SN/old target SN when SPR is forwarded by old MN for SPR optimization, old MN identifies the UE context and sends the stored respective SN Mobility Information together with SPR to the old source SN/old target SN</w:t>
      </w:r>
    </w:p>
    <w:bookmarkEnd w:id="69"/>
    <w:p w14:paraId="2353DEDB" w14:textId="77777777" w:rsidR="00080B55" w:rsidRDefault="00080B55" w:rsidP="00080B55">
      <w:pPr>
        <w:jc w:val="both"/>
        <w:rPr>
          <w:rFonts w:ascii="Arial" w:hAnsi="Arial" w:cs="Arial"/>
        </w:rPr>
      </w:pPr>
      <w:r>
        <w:rPr>
          <w:rFonts w:ascii="Arial" w:hAnsi="Arial" w:cs="Arial"/>
        </w:rPr>
        <w:t>In order to identify the UE context in the old MN, UE needs to include the C-RNTI in the old PSCell in the SPR.</w:t>
      </w:r>
    </w:p>
    <w:p w14:paraId="63993E24" w14:textId="77777777" w:rsidR="00080B55" w:rsidRPr="008E4F2F" w:rsidRDefault="00080B55" w:rsidP="00080B55">
      <w:pPr>
        <w:jc w:val="both"/>
        <w:rPr>
          <w:rFonts w:ascii="Arial" w:hAnsi="Arial" w:cs="Arial"/>
        </w:rPr>
      </w:pPr>
      <w:r w:rsidRPr="008E4F2F">
        <w:rPr>
          <w:rFonts w:ascii="Arial" w:hAnsi="Arial" w:cs="Arial"/>
        </w:rPr>
        <w:t>Based on the discussions above, including the SPR triggering thresholds and requirements to correlate the SPR with other SON reports like RLF report, we propose that RAN2 agree to include at least the following contents to the SPR.</w:t>
      </w:r>
    </w:p>
    <w:p w14:paraId="08F1C8F8" w14:textId="77777777" w:rsidR="00080B55" w:rsidRPr="008E4F2F" w:rsidRDefault="00080B55" w:rsidP="00080B55">
      <w:pPr>
        <w:pStyle w:val="Proposal"/>
        <w:numPr>
          <w:ilvl w:val="0"/>
          <w:numId w:val="0"/>
        </w:numPr>
      </w:pPr>
    </w:p>
    <w:p w14:paraId="3EB7760F" w14:textId="77777777" w:rsidR="00080B55" w:rsidRPr="008E4F2F" w:rsidRDefault="00080B55" w:rsidP="00080B55">
      <w:pPr>
        <w:pStyle w:val="Proposal"/>
        <w:rPr>
          <w:rFonts w:cs="Arial"/>
        </w:rPr>
      </w:pPr>
      <w:bookmarkStart w:id="70" w:name="_Toc127468550"/>
      <w:bookmarkStart w:id="71" w:name="_Toc134720881"/>
      <w:r w:rsidRPr="008E4F2F">
        <w:rPr>
          <w:rFonts w:cs="Arial"/>
        </w:rPr>
        <w:t>UE logs the following additional information in the SPR report:</w:t>
      </w:r>
      <w:bookmarkEnd w:id="70"/>
      <w:bookmarkEnd w:id="71"/>
    </w:p>
    <w:p w14:paraId="1F38FE7C" w14:textId="77777777" w:rsidR="00080B55" w:rsidRDefault="00080B55" w:rsidP="00080B55">
      <w:pPr>
        <w:pStyle w:val="Proposal"/>
        <w:numPr>
          <w:ilvl w:val="0"/>
          <w:numId w:val="37"/>
        </w:numPr>
        <w:rPr>
          <w:rFonts w:cs="Arial"/>
        </w:rPr>
      </w:pPr>
      <w:bookmarkStart w:id="72" w:name="_Toc127468551"/>
      <w:bookmarkStart w:id="73" w:name="_Toc134720882"/>
      <w:r w:rsidRPr="008E4F2F">
        <w:rPr>
          <w:rFonts w:cs="Arial"/>
          <w:lang w:eastAsia="ja-JP"/>
        </w:rPr>
        <w:t>Random access related information if SPR is triggered due to consistent LBT failure</w:t>
      </w:r>
      <w:bookmarkEnd w:id="72"/>
      <w:bookmarkEnd w:id="73"/>
      <w:r w:rsidRPr="008E4F2F">
        <w:rPr>
          <w:rFonts w:cs="Arial"/>
          <w:lang w:eastAsia="ja-JP"/>
        </w:rPr>
        <w:t xml:space="preserve"> </w:t>
      </w:r>
    </w:p>
    <w:p w14:paraId="68879723" w14:textId="77777777" w:rsidR="00080B55" w:rsidRPr="008E4F2F" w:rsidRDefault="00080B55" w:rsidP="00080B55">
      <w:pPr>
        <w:pStyle w:val="Proposal"/>
        <w:numPr>
          <w:ilvl w:val="0"/>
          <w:numId w:val="37"/>
        </w:numPr>
        <w:rPr>
          <w:rFonts w:cs="Arial"/>
        </w:rPr>
      </w:pPr>
      <w:bookmarkStart w:id="74" w:name="_Toc134720883"/>
      <w:r>
        <w:rPr>
          <w:rFonts w:cs="Arial"/>
          <w:lang w:eastAsia="ja-JP"/>
        </w:rPr>
        <w:t>C-RNTI in the PCell</w:t>
      </w:r>
      <w:bookmarkEnd w:id="74"/>
    </w:p>
    <w:p w14:paraId="34BE0D7B" w14:textId="77777777" w:rsidR="00080B55" w:rsidRPr="008E4F2F" w:rsidRDefault="00080B55" w:rsidP="00080B55">
      <w:pPr>
        <w:pStyle w:val="Proposal"/>
        <w:numPr>
          <w:ilvl w:val="0"/>
          <w:numId w:val="37"/>
        </w:numPr>
        <w:rPr>
          <w:rFonts w:cs="Arial"/>
        </w:rPr>
      </w:pPr>
      <w:bookmarkStart w:id="75" w:name="_Toc127468553"/>
      <w:bookmarkStart w:id="76" w:name="_Toc134720884"/>
      <w:r>
        <w:rPr>
          <w:rFonts w:cs="Arial"/>
          <w:lang w:eastAsia="ja-JP"/>
        </w:rPr>
        <w:t>Time between SPR generation at the UE and fetching by the network.</w:t>
      </w:r>
      <w:bookmarkEnd w:id="75"/>
      <w:bookmarkEnd w:id="76"/>
    </w:p>
    <w:p w14:paraId="7A17F382" w14:textId="77777777" w:rsidR="00080B55" w:rsidRDefault="00080B55" w:rsidP="00080B55">
      <w:pPr>
        <w:pStyle w:val="Proposal"/>
        <w:numPr>
          <w:ilvl w:val="0"/>
          <w:numId w:val="37"/>
        </w:numPr>
        <w:rPr>
          <w:rFonts w:cs="Arial"/>
        </w:rPr>
      </w:pPr>
      <w:bookmarkStart w:id="77" w:name="_Toc127468554"/>
      <w:bookmarkStart w:id="78" w:name="_Toc134720885"/>
      <w:r w:rsidRPr="008E4F2F">
        <w:rPr>
          <w:rFonts w:cs="Arial"/>
        </w:rPr>
        <w:t>LBT related information and measurements when operating in NR-U</w:t>
      </w:r>
      <w:bookmarkEnd w:id="77"/>
      <w:bookmarkEnd w:id="78"/>
    </w:p>
    <w:p w14:paraId="03E5BB8A" w14:textId="77777777" w:rsidR="00080B55" w:rsidRDefault="00080B55" w:rsidP="00080B55">
      <w:pPr>
        <w:rPr>
          <w:rFonts w:ascii="Arial" w:hAnsi="Arial" w:cs="Arial"/>
        </w:rPr>
      </w:pPr>
    </w:p>
    <w:p w14:paraId="1F58539C" w14:textId="77777777" w:rsidR="00080B55" w:rsidRDefault="00080B55" w:rsidP="00080B55">
      <w:pPr>
        <w:rPr>
          <w:rFonts w:ascii="Arial" w:hAnsi="Arial" w:cs="Arial"/>
        </w:rPr>
      </w:pPr>
      <w:r>
        <w:rPr>
          <w:rFonts w:ascii="Arial" w:hAnsi="Arial" w:cs="Arial"/>
        </w:rPr>
        <w:t>On the other hand, in RAN2#119bis-e meeting, the following was agreed</w:t>
      </w:r>
    </w:p>
    <w:tbl>
      <w:tblPr>
        <w:tblW w:w="9509"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9"/>
      </w:tblGrid>
      <w:tr w:rsidR="00080B55" w14:paraId="3181F334" w14:textId="77777777" w:rsidTr="00D14D2A">
        <w:trPr>
          <w:trHeight w:val="2010"/>
        </w:trPr>
        <w:tc>
          <w:tcPr>
            <w:tcW w:w="9509" w:type="dxa"/>
          </w:tcPr>
          <w:p w14:paraId="1A8C3D2C" w14:textId="77777777" w:rsidR="00080B55" w:rsidRPr="000578B2" w:rsidRDefault="00080B55" w:rsidP="00080B55">
            <w:pPr>
              <w:pStyle w:val="ListParagraph"/>
              <w:numPr>
                <w:ilvl w:val="0"/>
                <w:numId w:val="38"/>
              </w:numPr>
              <w:ind w:left="519"/>
              <w:rPr>
                <w:rFonts w:ascii="Arial" w:hAnsi="Arial" w:cs="Arial"/>
                <w:sz w:val="20"/>
                <w:szCs w:val="20"/>
              </w:rPr>
            </w:pPr>
            <w:r w:rsidRPr="000578B2">
              <w:rPr>
                <w:rFonts w:ascii="Arial" w:hAnsi="Arial" w:cs="Arial"/>
                <w:sz w:val="20"/>
                <w:szCs w:val="20"/>
              </w:rPr>
              <w:lastRenderedPageBreak/>
              <w:t>UE logs at least the following information and measurements in the SPR IE (other information and measurements are FFS).</w:t>
            </w:r>
          </w:p>
          <w:p w14:paraId="11138EFD" w14:textId="77777777" w:rsidR="00080B55" w:rsidRPr="000578B2" w:rsidRDefault="00080B55" w:rsidP="00080B55">
            <w:pPr>
              <w:pStyle w:val="ListParagraph"/>
              <w:numPr>
                <w:ilvl w:val="1"/>
                <w:numId w:val="38"/>
              </w:numPr>
              <w:ind w:left="1239"/>
              <w:rPr>
                <w:rFonts w:ascii="Arial" w:hAnsi="Arial" w:cs="Arial"/>
                <w:sz w:val="20"/>
                <w:szCs w:val="20"/>
              </w:rPr>
            </w:pPr>
            <w:r w:rsidRPr="000578B2">
              <w:rPr>
                <w:rFonts w:ascii="Arial" w:hAnsi="Arial" w:cs="Arial"/>
                <w:sz w:val="20"/>
                <w:szCs w:val="20"/>
              </w:rPr>
              <w:t>Source PSCell info (cell ID, measurement result)</w:t>
            </w:r>
          </w:p>
          <w:p w14:paraId="366136C2" w14:textId="77777777" w:rsidR="00080B55" w:rsidRPr="000578B2" w:rsidRDefault="00080B55" w:rsidP="00080B55">
            <w:pPr>
              <w:pStyle w:val="ListParagraph"/>
              <w:numPr>
                <w:ilvl w:val="1"/>
                <w:numId w:val="38"/>
              </w:numPr>
              <w:ind w:left="1239"/>
              <w:rPr>
                <w:rFonts w:ascii="Arial" w:hAnsi="Arial" w:cs="Arial"/>
                <w:sz w:val="20"/>
                <w:szCs w:val="20"/>
              </w:rPr>
            </w:pPr>
            <w:r w:rsidRPr="000578B2">
              <w:rPr>
                <w:rFonts w:ascii="Arial" w:hAnsi="Arial" w:cs="Arial"/>
                <w:sz w:val="20"/>
                <w:szCs w:val="20"/>
              </w:rPr>
              <w:t>Target PScell info (cell ID, measurement result)</w:t>
            </w:r>
          </w:p>
          <w:p w14:paraId="4A7E88D1" w14:textId="77777777" w:rsidR="00080B55" w:rsidRPr="000578B2" w:rsidRDefault="00080B55" w:rsidP="00080B55">
            <w:pPr>
              <w:pStyle w:val="ListParagraph"/>
              <w:numPr>
                <w:ilvl w:val="1"/>
                <w:numId w:val="38"/>
              </w:numPr>
              <w:ind w:left="1239"/>
              <w:rPr>
                <w:rFonts w:ascii="Arial" w:hAnsi="Arial" w:cs="Arial"/>
                <w:sz w:val="20"/>
                <w:szCs w:val="20"/>
              </w:rPr>
            </w:pPr>
            <w:r w:rsidRPr="000578B2">
              <w:rPr>
                <w:rFonts w:ascii="Arial" w:hAnsi="Arial" w:cs="Arial"/>
                <w:sz w:val="20"/>
                <w:szCs w:val="20"/>
              </w:rPr>
              <w:t>Neighbour Cells info (cell ID, measurement result, CPAC Candidate cells flag)</w:t>
            </w:r>
          </w:p>
          <w:p w14:paraId="735399AE" w14:textId="77777777" w:rsidR="00080B55" w:rsidRPr="000578B2" w:rsidRDefault="00080B55" w:rsidP="00080B55">
            <w:pPr>
              <w:pStyle w:val="ListParagraph"/>
              <w:numPr>
                <w:ilvl w:val="1"/>
                <w:numId w:val="38"/>
              </w:numPr>
              <w:ind w:left="1239"/>
              <w:rPr>
                <w:rFonts w:ascii="Arial" w:hAnsi="Arial" w:cs="Arial"/>
                <w:sz w:val="20"/>
                <w:szCs w:val="20"/>
              </w:rPr>
            </w:pPr>
            <w:r w:rsidRPr="000578B2">
              <w:rPr>
                <w:rFonts w:ascii="Arial" w:hAnsi="Arial" w:cs="Arial"/>
                <w:sz w:val="20"/>
                <w:szCs w:val="20"/>
              </w:rPr>
              <w:t>Success PSCell change/addition cause value (e.g., t304, t310, t312 cause, etc.)</w:t>
            </w:r>
          </w:p>
          <w:p w14:paraId="693BADA8" w14:textId="77777777" w:rsidR="00080B55" w:rsidRPr="000578B2" w:rsidRDefault="00080B55" w:rsidP="00080B55">
            <w:pPr>
              <w:pStyle w:val="ListParagraph"/>
              <w:numPr>
                <w:ilvl w:val="1"/>
                <w:numId w:val="38"/>
              </w:numPr>
              <w:ind w:left="1239"/>
              <w:rPr>
                <w:rFonts w:ascii="Arial" w:hAnsi="Arial" w:cs="Arial"/>
              </w:rPr>
            </w:pPr>
            <w:r w:rsidRPr="000578B2">
              <w:rPr>
                <w:rFonts w:ascii="Arial" w:hAnsi="Arial" w:cs="Arial"/>
                <w:sz w:val="20"/>
                <w:szCs w:val="20"/>
                <w:highlight w:val="yellow"/>
              </w:rPr>
              <w:t>The time elapsed between the CPAC execution towards the target cell and the corresponding latest CPAC configuration received for the selected target cell</w:t>
            </w:r>
            <w:r w:rsidRPr="000578B2">
              <w:rPr>
                <w:rFonts w:ascii="Arial" w:hAnsi="Arial" w:cs="Arial"/>
                <w:sz w:val="20"/>
                <w:szCs w:val="20"/>
              </w:rPr>
              <w:t xml:space="preserve"> </w:t>
            </w:r>
          </w:p>
        </w:tc>
      </w:tr>
    </w:tbl>
    <w:p w14:paraId="615BDE51" w14:textId="77777777" w:rsidR="00080B55" w:rsidRDefault="00080B55" w:rsidP="00080B55">
      <w:pPr>
        <w:rPr>
          <w:rFonts w:ascii="Arial" w:hAnsi="Arial" w:cs="Arial"/>
        </w:rPr>
      </w:pPr>
    </w:p>
    <w:p w14:paraId="1052A746" w14:textId="77777777" w:rsidR="00080B55" w:rsidRPr="000578B2" w:rsidRDefault="00080B55" w:rsidP="00080B55">
      <w:pPr>
        <w:rPr>
          <w:rFonts w:ascii="Arial" w:hAnsi="Arial" w:cs="Arial"/>
        </w:rPr>
      </w:pPr>
    </w:p>
    <w:p w14:paraId="4DE7D9F5" w14:textId="7554E355" w:rsidR="00080B55" w:rsidRDefault="005B6815" w:rsidP="00080B55">
      <w:pPr>
        <w:pStyle w:val="Heading1"/>
      </w:pPr>
      <w:r>
        <w:t>4</w:t>
      </w:r>
      <w:r w:rsidR="00080B55">
        <w:tab/>
        <w:t>Inter-</w:t>
      </w:r>
      <w:r w:rsidR="00080B55" w:rsidRPr="00A6574F">
        <w:t>RAT</w:t>
      </w:r>
      <w:r w:rsidR="00080B55">
        <w:t xml:space="preserve"> SHR from NR to LTE</w:t>
      </w:r>
    </w:p>
    <w:p w14:paraId="52A16851" w14:textId="6DE8990C" w:rsidR="00080B55" w:rsidRPr="00834025" w:rsidRDefault="005B6815" w:rsidP="00080B55">
      <w:pPr>
        <w:pStyle w:val="Heading2"/>
        <w:rPr>
          <w:lang w:val="en-US"/>
        </w:rPr>
      </w:pPr>
      <w:r>
        <w:rPr>
          <w:lang w:val="en-US"/>
        </w:rPr>
        <w:t>4</w:t>
      </w:r>
      <w:r w:rsidR="00080B55" w:rsidRPr="00834025">
        <w:rPr>
          <w:lang w:val="en-US"/>
        </w:rPr>
        <w:t>.</w:t>
      </w:r>
      <w:r w:rsidR="00080B55">
        <w:rPr>
          <w:lang w:val="en-US"/>
        </w:rPr>
        <w:t>1</w:t>
      </w:r>
      <w:r w:rsidR="00080B55" w:rsidRPr="00834025">
        <w:rPr>
          <w:lang w:val="en-US"/>
        </w:rPr>
        <w:tab/>
        <w:t>Inter-RAT SHR;</w:t>
      </w:r>
      <w:r w:rsidR="00080B55">
        <w:rPr>
          <w:lang w:val="en-US"/>
        </w:rPr>
        <w:t xml:space="preserve"> Optimization of source node towards target</w:t>
      </w:r>
      <w:r w:rsidR="00080B55" w:rsidRPr="00834025">
        <w:rPr>
          <w:lang w:val="en-US"/>
        </w:rPr>
        <w:t xml:space="preserve"> </w:t>
      </w:r>
    </w:p>
    <w:p w14:paraId="152BBCE0" w14:textId="77777777" w:rsidR="00080B55" w:rsidRDefault="00080B55" w:rsidP="00080B55">
      <w:pPr>
        <w:rPr>
          <w:rFonts w:ascii="Arial" w:hAnsi="Arial" w:cs="Arial"/>
        </w:rPr>
      </w:pPr>
      <w:bookmarkStart w:id="79" w:name="_Hlk126914806"/>
      <w:bookmarkStart w:id="80" w:name="_Hlk118382725"/>
      <w:r>
        <w:rPr>
          <w:rFonts w:ascii="Arial" w:hAnsi="Arial" w:cs="Arial"/>
        </w:rPr>
        <w:t xml:space="preserve">During RAN2#120, it was agreed that Inter-RAT SHR based on </w:t>
      </w:r>
      <w:r w:rsidRPr="00C809A5">
        <w:rPr>
          <w:rFonts w:ascii="Arial" w:hAnsi="Arial" w:cs="Arial"/>
        </w:rPr>
        <w:t xml:space="preserve">the target (LTE) node </w:t>
      </w:r>
      <w:r>
        <w:rPr>
          <w:rFonts w:ascii="Arial" w:hAnsi="Arial" w:cs="Arial"/>
        </w:rPr>
        <w:t xml:space="preserve">supplied timer T304 is not supported. Therefore, Inter-RAT </w:t>
      </w:r>
      <w:r w:rsidRPr="00C809A5">
        <w:rPr>
          <w:rFonts w:ascii="Arial" w:hAnsi="Arial" w:cs="Arial"/>
        </w:rPr>
        <w:t xml:space="preserve">SHR </w:t>
      </w:r>
      <w:r>
        <w:rPr>
          <w:rFonts w:ascii="Arial" w:hAnsi="Arial" w:cs="Arial"/>
        </w:rPr>
        <w:t>cannot be used f</w:t>
      </w:r>
      <w:r w:rsidRPr="00C809A5">
        <w:rPr>
          <w:rFonts w:ascii="Arial" w:hAnsi="Arial" w:cs="Arial"/>
        </w:rPr>
        <w:t xml:space="preserve">or improving </w:t>
      </w:r>
      <w:r>
        <w:rPr>
          <w:rFonts w:ascii="Arial" w:hAnsi="Arial" w:cs="Arial"/>
        </w:rPr>
        <w:t>the</w:t>
      </w:r>
      <w:r w:rsidRPr="00C809A5">
        <w:rPr>
          <w:rFonts w:ascii="Arial" w:hAnsi="Arial" w:cs="Arial"/>
        </w:rPr>
        <w:t xml:space="preserve"> handover performance </w:t>
      </w:r>
      <w:r>
        <w:rPr>
          <w:rFonts w:ascii="Arial" w:hAnsi="Arial" w:cs="Arial"/>
        </w:rPr>
        <w:t>of the</w:t>
      </w:r>
      <w:r w:rsidRPr="00C809A5">
        <w:rPr>
          <w:rFonts w:ascii="Arial" w:hAnsi="Arial" w:cs="Arial"/>
        </w:rPr>
        <w:t xml:space="preserve"> target. </w:t>
      </w:r>
    </w:p>
    <w:p w14:paraId="49F9A1DC" w14:textId="77777777" w:rsidR="00080B55" w:rsidRDefault="00080B55" w:rsidP="00080B55">
      <w:pPr>
        <w:pStyle w:val="Observation"/>
        <w:numPr>
          <w:ilvl w:val="0"/>
          <w:numId w:val="34"/>
        </w:numPr>
      </w:pPr>
      <w:bookmarkStart w:id="81" w:name="_Toc127468599"/>
      <w:bookmarkStart w:id="82" w:name="_Toc134708814"/>
      <w:bookmarkStart w:id="83" w:name="_Toc134708827"/>
      <w:bookmarkStart w:id="84" w:name="_Toc134720857"/>
      <w:r>
        <w:rPr>
          <w:rFonts w:cs="Arial"/>
        </w:rPr>
        <w:t xml:space="preserve">Inter-RAT </w:t>
      </w:r>
      <w:r w:rsidRPr="00C809A5">
        <w:rPr>
          <w:rFonts w:cs="Arial"/>
        </w:rPr>
        <w:t xml:space="preserve">SHR </w:t>
      </w:r>
      <w:r>
        <w:rPr>
          <w:rFonts w:cs="Arial"/>
        </w:rPr>
        <w:t>cannot be used f</w:t>
      </w:r>
      <w:r w:rsidRPr="00C809A5">
        <w:rPr>
          <w:rFonts w:cs="Arial"/>
        </w:rPr>
        <w:t xml:space="preserve">or improving </w:t>
      </w:r>
      <w:r>
        <w:rPr>
          <w:rFonts w:cs="Arial"/>
        </w:rPr>
        <w:t>the</w:t>
      </w:r>
      <w:r w:rsidRPr="00C809A5">
        <w:rPr>
          <w:rFonts w:cs="Arial"/>
        </w:rPr>
        <w:t xml:space="preserve"> handover performance </w:t>
      </w:r>
      <w:r>
        <w:rPr>
          <w:rFonts w:cs="Arial"/>
        </w:rPr>
        <w:t>of the</w:t>
      </w:r>
      <w:r w:rsidRPr="00C809A5">
        <w:rPr>
          <w:rFonts w:cs="Arial"/>
        </w:rPr>
        <w:t xml:space="preserve"> target</w:t>
      </w:r>
      <w:r>
        <w:rPr>
          <w:rFonts w:cs="Arial"/>
        </w:rPr>
        <w:t xml:space="preserve"> (LTE) cell.</w:t>
      </w:r>
      <w:bookmarkEnd w:id="81"/>
      <w:bookmarkEnd w:id="82"/>
      <w:bookmarkEnd w:id="83"/>
      <w:bookmarkEnd w:id="84"/>
    </w:p>
    <w:bookmarkEnd w:id="79"/>
    <w:p w14:paraId="08C34F84" w14:textId="77777777" w:rsidR="00080B55" w:rsidRDefault="00080B55" w:rsidP="00080B55">
      <w:pPr>
        <w:rPr>
          <w:rStyle w:val="BodyTextChar"/>
        </w:rPr>
      </w:pPr>
    </w:p>
    <w:p w14:paraId="47CE1F38" w14:textId="77777777" w:rsidR="00080B55" w:rsidRDefault="00080B55" w:rsidP="00080B55">
      <w:pPr>
        <w:rPr>
          <w:rStyle w:val="BodyTextChar"/>
        </w:rPr>
      </w:pPr>
      <w:bookmarkStart w:id="85" w:name="_Hlk126915001"/>
      <w:r>
        <w:rPr>
          <w:rStyle w:val="BodyTextChar"/>
        </w:rPr>
        <w:t xml:space="preserve">For this reason, we consider other solutions for improving </w:t>
      </w:r>
      <w:r w:rsidRPr="00EE2435">
        <w:rPr>
          <w:rStyle w:val="BodyTextChar"/>
        </w:rPr>
        <w:t>the handover</w:t>
      </w:r>
      <w:r>
        <w:rPr>
          <w:rStyle w:val="BodyTextChar"/>
        </w:rPr>
        <w:t xml:space="preserve"> from NR to LTE. We propose two ways to improve these handovers: RA information, and/or source supplied T304 trigger.</w:t>
      </w:r>
    </w:p>
    <w:p w14:paraId="49907DE3" w14:textId="48FBB58D" w:rsidR="00080B55" w:rsidRDefault="005B6815" w:rsidP="00080B55">
      <w:pPr>
        <w:pStyle w:val="Heading3"/>
        <w:rPr>
          <w:rStyle w:val="BodyTextChar"/>
          <w:rFonts w:eastAsiaTheme="majorEastAsia"/>
        </w:rPr>
      </w:pPr>
      <w:r>
        <w:rPr>
          <w:rStyle w:val="BodyTextChar"/>
          <w:rFonts w:eastAsiaTheme="majorEastAsia"/>
        </w:rPr>
        <w:t>4</w:t>
      </w:r>
      <w:r w:rsidR="00080B55">
        <w:rPr>
          <w:rStyle w:val="BodyTextChar"/>
          <w:rFonts w:eastAsiaTheme="majorEastAsia"/>
        </w:rPr>
        <w:t>.1.1</w:t>
      </w:r>
      <w:r w:rsidR="00080B55">
        <w:rPr>
          <w:rStyle w:val="BodyTextChar"/>
          <w:rFonts w:eastAsiaTheme="majorEastAsia"/>
        </w:rPr>
        <w:tab/>
        <w:t>RA information</w:t>
      </w:r>
    </w:p>
    <w:bookmarkEnd w:id="85"/>
    <w:p w14:paraId="473A3F70" w14:textId="77777777" w:rsidR="00080B55" w:rsidRPr="007321B2" w:rsidRDefault="00080B55" w:rsidP="00080B55">
      <w:pPr>
        <w:rPr>
          <w:lang w:val="en-US"/>
        </w:rPr>
      </w:pPr>
      <w:r w:rsidRPr="00887131">
        <w:rPr>
          <w:rStyle w:val="BodyTextChar"/>
        </w:rPr>
        <w:t>T</w:t>
      </w:r>
      <w:r>
        <w:rPr>
          <w:rStyle w:val="BodyTextChar"/>
        </w:rPr>
        <w:t xml:space="preserve">he performance of the handover execution (in terms of handover interruption time) toward a target cell depends </w:t>
      </w:r>
      <w:r w:rsidRPr="00887131">
        <w:rPr>
          <w:rStyle w:val="BodyTextChar"/>
        </w:rPr>
        <w:t>partly</w:t>
      </w:r>
      <w:r>
        <w:rPr>
          <w:rStyle w:val="BodyTextChar"/>
          <w:i/>
          <w:iCs/>
        </w:rPr>
        <w:t xml:space="preserve"> </w:t>
      </w:r>
      <w:r>
        <w:rPr>
          <w:rStyle w:val="BodyTextChar"/>
        </w:rPr>
        <w:t>on the RA performance</w:t>
      </w:r>
      <w:r>
        <w:rPr>
          <w:rStyle w:val="BodyTextChar"/>
          <w:i/>
        </w:rPr>
        <w:t xml:space="preserve">, </w:t>
      </w:r>
      <w:r>
        <w:rPr>
          <w:rStyle w:val="BodyTextChar"/>
        </w:rPr>
        <w:t>in terms of number of RA attempt</w:t>
      </w:r>
      <w:r w:rsidRPr="008F08BD">
        <w:rPr>
          <w:rStyle w:val="BodyTextChar"/>
          <w:iCs/>
        </w:rPr>
        <w:t>s</w:t>
      </w:r>
      <w:r>
        <w:rPr>
          <w:rStyle w:val="BodyTextChar"/>
        </w:rPr>
        <w:t xml:space="preserve"> or</w:t>
      </w:r>
      <w:r>
        <w:rPr>
          <w:rStyle w:val="BodyTextChar"/>
          <w:i/>
        </w:rPr>
        <w:t>,</w:t>
      </w:r>
      <w:r>
        <w:rPr>
          <w:rStyle w:val="BodyTextChar"/>
        </w:rPr>
        <w:t xml:space="preserve"> in general</w:t>
      </w:r>
      <w:r>
        <w:rPr>
          <w:rStyle w:val="BodyTextChar"/>
          <w:i/>
        </w:rPr>
        <w:t>,</w:t>
      </w:r>
      <w:r>
        <w:rPr>
          <w:rStyle w:val="BodyTextChar"/>
        </w:rPr>
        <w:t xml:space="preserve"> the latency caused by the RA procedure as the core procedure of the handover execution phase</w:t>
      </w:r>
      <w:r>
        <w:rPr>
          <w:rStyle w:val="BodyTextChar"/>
          <w:i/>
        </w:rPr>
        <w:t xml:space="preserve">. </w:t>
      </w:r>
      <w:r w:rsidRPr="00887131">
        <w:rPr>
          <w:rStyle w:val="BodyTextChar"/>
        </w:rPr>
        <w:t>Currently</w:t>
      </w:r>
      <w:r>
        <w:rPr>
          <w:rStyle w:val="BodyTextChar"/>
          <w:i/>
        </w:rPr>
        <w:t xml:space="preserve">, </w:t>
      </w:r>
      <w:r>
        <w:rPr>
          <w:rStyle w:val="BodyTextChar"/>
        </w:rPr>
        <w:t xml:space="preserve">the source gNB cannot select a suitable future target cell based on historical handover interruption time knowledge. Hence the handover decisions may lead to sub-optimal performance for inter-RAT handovers. </w:t>
      </w:r>
    </w:p>
    <w:p w14:paraId="20A07A97" w14:textId="77777777" w:rsidR="00080B55" w:rsidRPr="00C809A5" w:rsidRDefault="00080B55" w:rsidP="00080B55">
      <w:pPr>
        <w:rPr>
          <w:rFonts w:ascii="Arial" w:hAnsi="Arial" w:cs="Arial"/>
        </w:rPr>
      </w:pPr>
      <w:r>
        <w:rPr>
          <w:rFonts w:ascii="Arial" w:hAnsi="Arial" w:cs="Arial"/>
        </w:rPr>
        <w:t xml:space="preserve">To help the source gNB improve its mobility parameters towards an LTE target node, </w:t>
      </w:r>
      <w:bookmarkStart w:id="86" w:name="_Hlk126682189"/>
      <w:r>
        <w:rPr>
          <w:rFonts w:ascii="Arial" w:hAnsi="Arial" w:cs="Arial"/>
        </w:rPr>
        <w:t>we propose</w:t>
      </w:r>
      <w:r w:rsidRPr="00C809A5">
        <w:rPr>
          <w:rFonts w:ascii="Arial" w:hAnsi="Arial" w:cs="Arial"/>
        </w:rPr>
        <w:t xml:space="preserve"> to augment the SHR for NR-to-LTE handovers with additional information. We suggest supplementing the SHR for NR-to-LTE handovers with:</w:t>
      </w:r>
      <w:bookmarkEnd w:id="86"/>
    </w:p>
    <w:p w14:paraId="478BB099" w14:textId="77777777" w:rsidR="00080B55" w:rsidRPr="00C809A5" w:rsidRDefault="00080B55" w:rsidP="00080B55">
      <w:pPr>
        <w:pStyle w:val="ListParagraph"/>
        <w:numPr>
          <w:ilvl w:val="0"/>
          <w:numId w:val="36"/>
        </w:numPr>
        <w:rPr>
          <w:rFonts w:ascii="Arial" w:hAnsi="Arial" w:cs="Arial"/>
          <w:sz w:val="20"/>
          <w:szCs w:val="20"/>
        </w:rPr>
      </w:pPr>
      <w:r>
        <w:rPr>
          <w:rFonts w:ascii="Arial" w:hAnsi="Arial" w:cs="Arial"/>
          <w:sz w:val="20"/>
          <w:szCs w:val="20"/>
          <w:lang w:val="en-GB"/>
        </w:rPr>
        <w:t>A c</w:t>
      </w:r>
      <w:r w:rsidRPr="00C809A5">
        <w:rPr>
          <w:rFonts w:ascii="Arial" w:hAnsi="Arial" w:cs="Arial"/>
          <w:sz w:val="20"/>
          <w:szCs w:val="20"/>
        </w:rPr>
        <w:t>ount</w:t>
      </w:r>
      <w:r>
        <w:rPr>
          <w:rFonts w:ascii="Arial" w:hAnsi="Arial" w:cs="Arial"/>
          <w:sz w:val="20"/>
          <w:szCs w:val="20"/>
          <w:lang w:val="en-US"/>
        </w:rPr>
        <w:t>er for</w:t>
      </w:r>
      <w:r w:rsidRPr="00C809A5">
        <w:rPr>
          <w:rFonts w:ascii="Arial" w:hAnsi="Arial" w:cs="Arial"/>
          <w:sz w:val="20"/>
          <w:szCs w:val="20"/>
        </w:rPr>
        <w:t xml:space="preserve"> the number of RA attempts made for the successful handover</w:t>
      </w:r>
      <w:r>
        <w:rPr>
          <w:rFonts w:ascii="Arial" w:hAnsi="Arial" w:cs="Arial"/>
          <w:sz w:val="20"/>
          <w:szCs w:val="20"/>
          <w:lang w:val="en-US"/>
        </w:rPr>
        <w:t>.</w:t>
      </w:r>
    </w:p>
    <w:p w14:paraId="5502AAD5" w14:textId="77777777" w:rsidR="00080B55" w:rsidRDefault="00080B55" w:rsidP="00080B55">
      <w:pPr>
        <w:pStyle w:val="ListParagraph"/>
        <w:numPr>
          <w:ilvl w:val="0"/>
          <w:numId w:val="36"/>
        </w:numPr>
        <w:rPr>
          <w:rFonts w:ascii="Arial" w:hAnsi="Arial" w:cs="Arial"/>
          <w:sz w:val="20"/>
          <w:szCs w:val="20"/>
        </w:rPr>
      </w:pPr>
      <w:r>
        <w:rPr>
          <w:rFonts w:ascii="Arial" w:hAnsi="Arial" w:cs="Arial"/>
          <w:sz w:val="20"/>
          <w:szCs w:val="20"/>
          <w:lang w:val="en-US"/>
        </w:rPr>
        <w:t>A</w:t>
      </w:r>
      <w:r w:rsidRPr="00C809A5">
        <w:rPr>
          <w:rFonts w:ascii="Arial" w:hAnsi="Arial" w:cs="Arial"/>
          <w:sz w:val="20"/>
          <w:szCs w:val="20"/>
          <w:lang w:val="en-US"/>
        </w:rPr>
        <w:t xml:space="preserve"> </w:t>
      </w:r>
      <w:r w:rsidRPr="00C809A5">
        <w:rPr>
          <w:rFonts w:ascii="Arial" w:hAnsi="Arial" w:cs="Arial"/>
          <w:sz w:val="20"/>
          <w:szCs w:val="20"/>
        </w:rPr>
        <w:t xml:space="preserve">flag on whether contention was present </w:t>
      </w:r>
      <w:r>
        <w:rPr>
          <w:rFonts w:ascii="Arial" w:hAnsi="Arial" w:cs="Arial"/>
          <w:sz w:val="20"/>
          <w:szCs w:val="20"/>
          <w:lang w:val="en-US"/>
        </w:rPr>
        <w:t xml:space="preserve">during the RA procedure </w:t>
      </w:r>
      <w:r w:rsidRPr="00C809A5">
        <w:rPr>
          <w:rFonts w:ascii="Arial" w:hAnsi="Arial" w:cs="Arial"/>
          <w:sz w:val="20"/>
          <w:szCs w:val="20"/>
        </w:rPr>
        <w:t xml:space="preserve">or not. </w:t>
      </w:r>
    </w:p>
    <w:p w14:paraId="626091A2" w14:textId="77777777" w:rsidR="00080B55" w:rsidRDefault="00080B55" w:rsidP="00080B55">
      <w:pPr>
        <w:rPr>
          <w:rFonts w:ascii="Arial" w:hAnsi="Arial" w:cs="Arial"/>
        </w:rPr>
      </w:pPr>
    </w:p>
    <w:p w14:paraId="2DBFCF0A" w14:textId="77777777" w:rsidR="00080B55" w:rsidRDefault="00080B55" w:rsidP="00080B55">
      <w:pPr>
        <w:rPr>
          <w:rFonts w:ascii="Arial" w:hAnsi="Arial" w:cs="Arial"/>
        </w:rPr>
      </w:pPr>
      <w:r w:rsidRPr="006946E9">
        <w:rPr>
          <w:rFonts w:ascii="Arial" w:hAnsi="Arial" w:cs="Arial"/>
        </w:rPr>
        <w:t>Although this new information cannot help the target (LTE) node, it can improve the performance of the source (NR) node. In this way, the source node can better judge which target node it should hand over UEs to.</w:t>
      </w:r>
    </w:p>
    <w:p w14:paraId="32768EA5" w14:textId="77777777" w:rsidR="00080B55" w:rsidRDefault="00080B55" w:rsidP="00080B55">
      <w:pPr>
        <w:rPr>
          <w:rFonts w:ascii="Arial" w:hAnsi="Arial" w:cs="Arial"/>
        </w:rPr>
      </w:pPr>
      <w:r>
        <w:rPr>
          <w:rFonts w:ascii="Arial" w:hAnsi="Arial" w:cs="Arial"/>
        </w:rPr>
        <w:t xml:space="preserve">To enable logging, we propose to enhance the SHR configuration with a triggering condition for the number of RA attempts e.g., when the number of RA attempts at the HO execution toward an LTE cell is above a certain number, the UE logs inter-RAT SHR. </w:t>
      </w:r>
    </w:p>
    <w:p w14:paraId="094B2BE2" w14:textId="77777777" w:rsidR="00080B55" w:rsidRDefault="00080B55" w:rsidP="00080B55">
      <w:pPr>
        <w:rPr>
          <w:rFonts w:ascii="Arial" w:hAnsi="Arial" w:cs="Arial"/>
        </w:rPr>
      </w:pPr>
      <w:bookmarkStart w:id="87" w:name="_Hlk126915171"/>
      <w:r>
        <w:rPr>
          <w:rFonts w:ascii="Arial" w:hAnsi="Arial" w:cs="Arial"/>
        </w:rPr>
        <w:t>Note that the NR RA-Report is not created for an NR-to-LTE handover, therefore the NR RA-Report cannot be used for this purpose. Furthermore, the LTE RACH-Report is fetched by the LTE network and is not sent to the NR network. Therefore, it cannot be used to improve NR configuration.</w:t>
      </w:r>
    </w:p>
    <w:bookmarkEnd w:id="87"/>
    <w:p w14:paraId="23DF2BB6" w14:textId="77777777" w:rsidR="00080B55" w:rsidRDefault="00080B55" w:rsidP="00080B55">
      <w:r>
        <w:rPr>
          <w:rFonts w:ascii="Arial" w:hAnsi="Arial" w:cs="Arial"/>
        </w:rPr>
        <w:t>For RA information, we propose the following:</w:t>
      </w:r>
    </w:p>
    <w:p w14:paraId="439C97D8" w14:textId="77777777" w:rsidR="00080B55" w:rsidRDefault="00080B55" w:rsidP="00080B55">
      <w:pPr>
        <w:pStyle w:val="Proposal"/>
        <w:numPr>
          <w:ilvl w:val="0"/>
          <w:numId w:val="35"/>
        </w:numPr>
        <w:jc w:val="left"/>
      </w:pPr>
      <w:bookmarkStart w:id="88" w:name="_Toc127468556"/>
      <w:bookmarkStart w:id="89" w:name="_Toc134720886"/>
      <w:r>
        <w:t>RAN2 agree to enhance the inter-RAT SHR configuration with a triggering condition associated to the number of random accesses attempts toward the LTE cell.</w:t>
      </w:r>
      <w:bookmarkEnd w:id="88"/>
      <w:bookmarkEnd w:id="89"/>
      <w:r>
        <w:t xml:space="preserve"> </w:t>
      </w:r>
    </w:p>
    <w:p w14:paraId="697A122F" w14:textId="77777777" w:rsidR="00080B55" w:rsidRDefault="00080B55" w:rsidP="00080B55">
      <w:pPr>
        <w:pStyle w:val="Proposal"/>
        <w:numPr>
          <w:ilvl w:val="0"/>
          <w:numId w:val="35"/>
        </w:numPr>
        <w:jc w:val="left"/>
      </w:pPr>
      <w:bookmarkStart w:id="90" w:name="_Toc118389203"/>
      <w:bookmarkStart w:id="91" w:name="_Toc127468557"/>
      <w:bookmarkStart w:id="92" w:name="_Toc134720887"/>
      <w:r>
        <w:t>For Inter-RAT handover from NR to LTE, augment the SHR with a counter for the number of RA attempts made for the successful handover.</w:t>
      </w:r>
      <w:bookmarkEnd w:id="90"/>
      <w:bookmarkEnd w:id="91"/>
      <w:bookmarkEnd w:id="92"/>
    </w:p>
    <w:p w14:paraId="0B187151" w14:textId="77777777" w:rsidR="00080B55" w:rsidRDefault="00080B55" w:rsidP="00080B55">
      <w:pPr>
        <w:pStyle w:val="Proposal"/>
        <w:numPr>
          <w:ilvl w:val="0"/>
          <w:numId w:val="35"/>
        </w:numPr>
        <w:jc w:val="left"/>
      </w:pPr>
      <w:bookmarkStart w:id="93" w:name="_Toc118389204"/>
      <w:bookmarkStart w:id="94" w:name="_Toc127468558"/>
      <w:bookmarkStart w:id="95" w:name="_Toc134720888"/>
      <w:r>
        <w:lastRenderedPageBreak/>
        <w:t>For Inter-RAT handover from NR to LTE, augment the SHR with a flag on whether contention was observed for the successful handover.</w:t>
      </w:r>
      <w:bookmarkEnd w:id="93"/>
      <w:bookmarkEnd w:id="94"/>
      <w:bookmarkEnd w:id="95"/>
    </w:p>
    <w:bookmarkEnd w:id="80"/>
    <w:p w14:paraId="43BFD48B" w14:textId="2EDD2422" w:rsidR="00080B55" w:rsidRDefault="005B6815" w:rsidP="00080B55">
      <w:pPr>
        <w:pStyle w:val="Heading3"/>
      </w:pPr>
      <w:r>
        <w:t>4</w:t>
      </w:r>
      <w:r w:rsidR="00080B55">
        <w:t>.1.2</w:t>
      </w:r>
      <w:r w:rsidR="00080B55">
        <w:tab/>
        <w:t>Source supplied T304 trigger</w:t>
      </w:r>
    </w:p>
    <w:p w14:paraId="3149A11A" w14:textId="77777777" w:rsidR="00080B55" w:rsidRDefault="00080B55" w:rsidP="00080B55">
      <w:pPr>
        <w:rPr>
          <w:rFonts w:ascii="Arial" w:hAnsi="Arial" w:cs="Arial"/>
        </w:rPr>
      </w:pPr>
      <w:r w:rsidRPr="00F22C74">
        <w:rPr>
          <w:rFonts w:ascii="Arial" w:hAnsi="Arial" w:cs="Arial"/>
        </w:rPr>
        <w:t xml:space="preserve">Another possibility </w:t>
      </w:r>
      <w:r w:rsidRPr="00F22C74">
        <w:rPr>
          <w:rStyle w:val="BodyTextChar"/>
          <w:rFonts w:cs="Arial"/>
        </w:rPr>
        <w:t>for improving the handover from NR to LTE</w:t>
      </w:r>
      <w:r w:rsidRPr="00F22C74">
        <w:rPr>
          <w:rFonts w:ascii="Arial" w:hAnsi="Arial" w:cs="Arial"/>
        </w:rPr>
        <w:t xml:space="preserve"> is to use the T304 timer for generating a SHR, despite the fact that the target node does not provide a trigger for it. This is achieved by the source node blindly setting the T304 trigger, without regards to any trigger configuration from the target node.</w:t>
      </w:r>
      <w:r>
        <w:rPr>
          <w:rFonts w:ascii="Arial" w:hAnsi="Arial" w:cs="Arial"/>
        </w:rPr>
        <w:t xml:space="preserve"> A further consideration is that for intra-RAT SHR triggered by T304, the existence of the SHR will be made available to the target node. For inter-RAT SHR triggered by T304, the SHR cannot be sent to the target node, as the SHR is not understandable by the target (LTE) node. Furthermore, the trigger for the SHR is in this case configured by the source node. For both these reasons, an inter-RAT SHR, triggered by a source node supplied T304 trigger, should be notified to the source (NR) node, and also retrieved by that node.</w:t>
      </w:r>
    </w:p>
    <w:p w14:paraId="70B63CA8" w14:textId="77777777" w:rsidR="00080B55" w:rsidRPr="002C1713" w:rsidRDefault="00080B55" w:rsidP="00080B55">
      <w:pPr>
        <w:pStyle w:val="Proposal"/>
        <w:tabs>
          <w:tab w:val="num" w:pos="1304"/>
        </w:tabs>
      </w:pPr>
      <w:bookmarkStart w:id="96" w:name="_Toc134720889"/>
      <w:r>
        <w:rPr>
          <w:rFonts w:cs="Arial"/>
        </w:rPr>
        <w:t>Also note that this behaviour is against a previous RAN2 agreement to not use T304. For this particular case, this agreement must be reverted.</w:t>
      </w:r>
      <w:r>
        <w:t>RAN2 to agree to allow the source (NR) node to configure triggers for T304 for inter-RAT SHR.</w:t>
      </w:r>
      <w:bookmarkEnd w:id="96"/>
    </w:p>
    <w:p w14:paraId="1A41ED8C" w14:textId="0302B6C6" w:rsidR="00080B55" w:rsidRPr="007B5264" w:rsidRDefault="005B6815" w:rsidP="00080B55">
      <w:pPr>
        <w:pStyle w:val="Heading2"/>
      </w:pPr>
      <w:bookmarkStart w:id="97" w:name="_Hlk126916154"/>
      <w:r>
        <w:t>4</w:t>
      </w:r>
      <w:r w:rsidR="00080B55" w:rsidRPr="007B5264">
        <w:t>.</w:t>
      </w:r>
      <w:r w:rsidR="00080B55">
        <w:t>2</w:t>
      </w:r>
      <w:r w:rsidR="00080B55" w:rsidRPr="007B5264">
        <w:tab/>
        <w:t>Inter-RAT</w:t>
      </w:r>
      <w:r w:rsidR="00080B55">
        <w:t xml:space="preserve"> and Intra-RAT</w:t>
      </w:r>
      <w:r w:rsidR="00080B55" w:rsidRPr="007B5264">
        <w:t xml:space="preserve"> SHR; UE log</w:t>
      </w:r>
      <w:r w:rsidR="00080B55" w:rsidRPr="006C05C4">
        <w:t xml:space="preserve">s </w:t>
      </w:r>
      <w:r w:rsidR="00080B55">
        <w:t>the time since SHR generation</w:t>
      </w:r>
    </w:p>
    <w:p w14:paraId="6E42D8B7" w14:textId="77777777" w:rsidR="00080B55" w:rsidRDefault="00080B55" w:rsidP="00080B55">
      <w:pPr>
        <w:rPr>
          <w:rFonts w:ascii="Arial" w:hAnsi="Arial" w:cs="Arial"/>
        </w:rPr>
      </w:pPr>
      <w:bookmarkStart w:id="98" w:name="_Hlk126916490"/>
      <w:bookmarkEnd w:id="97"/>
      <w:r>
        <w:rPr>
          <w:rFonts w:ascii="Arial" w:hAnsi="Arial" w:cs="Arial"/>
        </w:rPr>
        <w:t xml:space="preserve">Similar to the discussion about SPR above, some companies argue that SHR should be stored in the UE until the network fetches it. We assume that it follows the same principle of RLF report that the UE may need to store it up to 48 hours. As the SHR is generated during a handover from NR to LTE, the target (LTE) node is not knowledgeable of SHR and cannot fetch it. The SHR can only be fetched when the UE hands over from an LTE node to a NR node. </w:t>
      </w:r>
    </w:p>
    <w:p w14:paraId="1580E1EA" w14:textId="77777777" w:rsidR="00080B55" w:rsidRDefault="00080B55" w:rsidP="00080B55">
      <w:pPr>
        <w:pStyle w:val="Observation"/>
        <w:numPr>
          <w:ilvl w:val="0"/>
          <w:numId w:val="34"/>
        </w:numPr>
        <w:jc w:val="left"/>
      </w:pPr>
      <w:bookmarkStart w:id="99" w:name="_Toc127468600"/>
      <w:bookmarkStart w:id="100" w:name="_Toc134708815"/>
      <w:bookmarkStart w:id="101" w:name="_Toc134708828"/>
      <w:bookmarkStart w:id="102" w:name="_Toc134720858"/>
      <w:r>
        <w:t>For a SHR generated for a NR-to-LTE handover, the SHR can be reported to the source node only when the UE returns to the NR network. This can take up to 48 hours.</w:t>
      </w:r>
      <w:bookmarkEnd w:id="99"/>
      <w:bookmarkEnd w:id="100"/>
      <w:bookmarkEnd w:id="101"/>
      <w:bookmarkEnd w:id="102"/>
      <w:r>
        <w:t xml:space="preserve"> </w:t>
      </w:r>
    </w:p>
    <w:p w14:paraId="0C67842F" w14:textId="77777777" w:rsidR="00080B55" w:rsidRDefault="00080B55" w:rsidP="00080B55">
      <w:pPr>
        <w:rPr>
          <w:rFonts w:ascii="Arial" w:hAnsi="Arial" w:cs="Arial"/>
        </w:rPr>
      </w:pPr>
      <w:r>
        <w:rPr>
          <w:rFonts w:ascii="Arial" w:hAnsi="Arial" w:cs="Arial"/>
        </w:rPr>
        <w:t>Thus, similar to CEF and RLF report, it is important that the UE logs the time between SHR report generation and fetching by the network.</w:t>
      </w:r>
      <w:r w:rsidRPr="006037F4">
        <w:t xml:space="preserve"> </w:t>
      </w:r>
      <w:r w:rsidRPr="006037F4">
        <w:rPr>
          <w:rFonts w:ascii="Arial" w:hAnsi="Arial" w:cs="Arial"/>
        </w:rPr>
        <w:t>This will help the source node to retrieve the UE Context, if stored.</w:t>
      </w:r>
      <w:r>
        <w:rPr>
          <w:rFonts w:ascii="Arial" w:hAnsi="Arial" w:cs="Arial"/>
        </w:rPr>
        <w:t xml:space="preserve"> This information lends itself more importance as in case of Inter RAT SHR, the NR network can not immediately fetch the SHR from the UE and it in general takes longer time to be fetched.</w:t>
      </w:r>
    </w:p>
    <w:p w14:paraId="7A46BF0F" w14:textId="77777777" w:rsidR="00080B55" w:rsidRPr="00F20CD4" w:rsidRDefault="00080B55" w:rsidP="00080B55">
      <w:pPr>
        <w:pStyle w:val="BodyText"/>
      </w:pPr>
      <w:r>
        <w:t xml:space="preserve">Furthermore, logging the time between SHR generation and fetching should be extended to cover not only the Inter-RAT SHR case, but also the Intra-NR SHR case, see clause 4. </w:t>
      </w:r>
      <w:bookmarkStart w:id="103" w:name="_Toc127468559"/>
    </w:p>
    <w:p w14:paraId="071CA74D" w14:textId="77777777" w:rsidR="00080B55" w:rsidRDefault="00080B55" w:rsidP="00080B55">
      <w:pPr>
        <w:pStyle w:val="Proposal"/>
        <w:tabs>
          <w:tab w:val="num" w:pos="1304"/>
        </w:tabs>
        <w:jc w:val="left"/>
      </w:pPr>
      <w:bookmarkStart w:id="104" w:name="_Toc134720890"/>
      <w:r>
        <w:t>Inter-RAT SHR to include the time between report generation and report fetching.</w:t>
      </w:r>
      <w:bookmarkEnd w:id="103"/>
      <w:bookmarkEnd w:id="104"/>
    </w:p>
    <w:bookmarkEnd w:id="98"/>
    <w:p w14:paraId="714AEA65" w14:textId="77777777" w:rsidR="00080B55" w:rsidRDefault="00080B55" w:rsidP="00080B55">
      <w:pPr>
        <w:rPr>
          <w:rFonts w:cs="Arial"/>
        </w:rPr>
      </w:pPr>
    </w:p>
    <w:p w14:paraId="620F1216" w14:textId="30C2E54F" w:rsidR="00080B55" w:rsidRPr="00C55451" w:rsidRDefault="005B6815" w:rsidP="00080B55">
      <w:pPr>
        <w:pStyle w:val="Heading2"/>
      </w:pPr>
      <w:r>
        <w:t>4</w:t>
      </w:r>
      <w:r w:rsidR="00080B55" w:rsidRPr="00C55451">
        <w:t>.</w:t>
      </w:r>
      <w:r>
        <w:t>3</w:t>
      </w:r>
      <w:r w:rsidR="00080B55" w:rsidRPr="00C55451">
        <w:tab/>
        <w:t>Inter-RAT SHR; ASN.1</w:t>
      </w:r>
    </w:p>
    <w:p w14:paraId="7735B752" w14:textId="77777777" w:rsidR="00080B55" w:rsidRDefault="00080B55" w:rsidP="00080B55">
      <w:r w:rsidRPr="006C05C4">
        <w:t xml:space="preserve">The </w:t>
      </w:r>
      <w:r>
        <w:t xml:space="preserve">Rel-17 reporting of </w:t>
      </w:r>
      <w:r w:rsidRPr="00E5606C">
        <w:t>Intr</w:t>
      </w:r>
      <w:r w:rsidRPr="006C05C4">
        <w:t xml:space="preserve">a-RAT SHR </w:t>
      </w:r>
      <w:r>
        <w:t xml:space="preserve">is done using the </w:t>
      </w:r>
      <w:r w:rsidRPr="006C05C4">
        <w:rPr>
          <w:rFonts w:ascii="Courier New" w:hAnsi="Courier New" w:cs="Courier New"/>
        </w:rPr>
        <w:t>SuccessHO-Report-r17</w:t>
      </w:r>
      <w:r w:rsidRPr="00B55E3E">
        <w:t xml:space="preserve"> </w:t>
      </w:r>
      <w:r>
        <w:t>IE:</w:t>
      </w:r>
    </w:p>
    <w:p w14:paraId="62C6C31E" w14:textId="77777777" w:rsidR="00080B55" w:rsidRPr="00E5606C" w:rsidRDefault="00080B55" w:rsidP="00080B55">
      <w:pPr>
        <w:pStyle w:val="PL"/>
        <w:pBdr>
          <w:top w:val="single" w:sz="4" w:space="1" w:color="auto"/>
          <w:left w:val="single" w:sz="4" w:space="4" w:color="auto"/>
          <w:bottom w:val="single" w:sz="4" w:space="1" w:color="auto"/>
          <w:right w:val="single" w:sz="4" w:space="31" w:color="auto"/>
        </w:pBdr>
      </w:pPr>
      <w:bookmarkStart w:id="105" w:name="_Hlk134178532"/>
      <w:r w:rsidRPr="006C05C4">
        <w:t>SuccessHO-Report-r17</w:t>
      </w:r>
      <w:bookmarkEnd w:id="105"/>
      <w:r w:rsidRPr="00E5606C">
        <w:t xml:space="preserve"> ::=                 </w:t>
      </w:r>
      <w:r w:rsidRPr="00E5606C">
        <w:rPr>
          <w:color w:val="993366"/>
        </w:rPr>
        <w:t>SEQUENCE</w:t>
      </w:r>
      <w:r w:rsidRPr="00E5606C">
        <w:t xml:space="preserve"> {</w:t>
      </w:r>
    </w:p>
    <w:p w14:paraId="7E383953" w14:textId="77777777" w:rsidR="00080B55" w:rsidRPr="00E5606C" w:rsidRDefault="00080B55" w:rsidP="00080B55">
      <w:pPr>
        <w:pStyle w:val="PL"/>
        <w:pBdr>
          <w:top w:val="single" w:sz="4" w:space="1" w:color="auto"/>
          <w:left w:val="single" w:sz="4" w:space="4" w:color="auto"/>
          <w:bottom w:val="single" w:sz="4" w:space="1" w:color="auto"/>
          <w:right w:val="single" w:sz="4" w:space="31" w:color="auto"/>
        </w:pBdr>
      </w:pPr>
      <w:r w:rsidRPr="00E5606C">
        <w:t xml:space="preserve">    sourceCellInfo-r17                       </w:t>
      </w:r>
      <w:r w:rsidRPr="00E5606C">
        <w:rPr>
          <w:color w:val="993366"/>
        </w:rPr>
        <w:t>SEQUENCE</w:t>
      </w:r>
      <w:r w:rsidRPr="00E5606C">
        <w:t xml:space="preserve"> {</w:t>
      </w:r>
    </w:p>
    <w:p w14:paraId="4DFC26C7" w14:textId="77777777" w:rsidR="00080B55" w:rsidRPr="00E5606C" w:rsidRDefault="00080B55" w:rsidP="00080B55">
      <w:pPr>
        <w:pStyle w:val="PL"/>
        <w:pBdr>
          <w:top w:val="single" w:sz="4" w:space="1" w:color="auto"/>
          <w:left w:val="single" w:sz="4" w:space="4" w:color="auto"/>
          <w:bottom w:val="single" w:sz="4" w:space="1" w:color="auto"/>
          <w:right w:val="single" w:sz="4" w:space="31" w:color="auto"/>
        </w:pBdr>
      </w:pPr>
      <w:r w:rsidRPr="00E5606C">
        <w:t xml:space="preserve">        sourcePCellId-r17                        </w:t>
      </w:r>
      <w:r w:rsidRPr="006C05C4">
        <w:t>CGI-Info-Logging-r16</w:t>
      </w:r>
      <w:r w:rsidRPr="00E5606C">
        <w:t>,</w:t>
      </w:r>
    </w:p>
    <w:p w14:paraId="5D68836C" w14:textId="77777777" w:rsidR="00080B55" w:rsidRPr="00E5606C" w:rsidRDefault="00080B55" w:rsidP="00080B55">
      <w:pPr>
        <w:pStyle w:val="PL"/>
        <w:pBdr>
          <w:top w:val="single" w:sz="4" w:space="1" w:color="auto"/>
          <w:left w:val="single" w:sz="4" w:space="4" w:color="auto"/>
          <w:bottom w:val="single" w:sz="4" w:space="1" w:color="auto"/>
          <w:right w:val="single" w:sz="4" w:space="31" w:color="auto"/>
        </w:pBdr>
      </w:pPr>
      <w:r w:rsidRPr="00E5606C">
        <w:t xml:space="preserve">        sourceCellMeas-r17                       MeasResultSuccessHONR-r17               </w:t>
      </w:r>
      <w:r w:rsidRPr="00E5606C">
        <w:rPr>
          <w:color w:val="993366"/>
        </w:rPr>
        <w:t>OPTIONAL</w:t>
      </w:r>
      <w:r w:rsidRPr="00E5606C">
        <w:t>,</w:t>
      </w:r>
    </w:p>
    <w:p w14:paraId="0D86ABFE" w14:textId="77777777" w:rsidR="00080B55" w:rsidRPr="00E5606C" w:rsidRDefault="00080B55" w:rsidP="00080B55">
      <w:pPr>
        <w:pStyle w:val="PL"/>
        <w:pBdr>
          <w:top w:val="single" w:sz="4" w:space="1" w:color="auto"/>
          <w:left w:val="single" w:sz="4" w:space="4" w:color="auto"/>
          <w:bottom w:val="single" w:sz="4" w:space="1" w:color="auto"/>
          <w:right w:val="single" w:sz="4" w:space="31" w:color="auto"/>
        </w:pBdr>
      </w:pPr>
      <w:r w:rsidRPr="00E5606C">
        <w:t xml:space="preserve">        </w:t>
      </w:r>
      <w:r w:rsidRPr="00E5606C">
        <w:rPr>
          <w:rFonts w:eastAsia="DengXian"/>
        </w:rPr>
        <w:t>rlf-InSourceDAPS-r17</w:t>
      </w:r>
      <w:r w:rsidRPr="00E5606C">
        <w:t xml:space="preserve">                     </w:t>
      </w:r>
      <w:r w:rsidRPr="00E5606C">
        <w:rPr>
          <w:color w:val="993366"/>
        </w:rPr>
        <w:t>ENUMERATED</w:t>
      </w:r>
      <w:r w:rsidRPr="00E5606C">
        <w:t xml:space="preserve"> {true}                       </w:t>
      </w:r>
      <w:r w:rsidRPr="00E5606C">
        <w:rPr>
          <w:color w:val="993366"/>
        </w:rPr>
        <w:t>OPTIONAL</w:t>
      </w:r>
    </w:p>
    <w:p w14:paraId="0280D604" w14:textId="77777777" w:rsidR="00080B55" w:rsidRPr="00E5606C" w:rsidRDefault="00080B55" w:rsidP="00080B55">
      <w:pPr>
        <w:pStyle w:val="PL"/>
        <w:pBdr>
          <w:top w:val="single" w:sz="4" w:space="1" w:color="auto"/>
          <w:left w:val="single" w:sz="4" w:space="4" w:color="auto"/>
          <w:bottom w:val="single" w:sz="4" w:space="1" w:color="auto"/>
          <w:right w:val="single" w:sz="4" w:space="31" w:color="auto"/>
        </w:pBdr>
      </w:pPr>
      <w:r w:rsidRPr="00E5606C">
        <w:t xml:space="preserve">    },</w:t>
      </w:r>
    </w:p>
    <w:p w14:paraId="239F0769" w14:textId="77777777" w:rsidR="00080B55" w:rsidRPr="00E5606C" w:rsidRDefault="00080B55" w:rsidP="00080B55">
      <w:pPr>
        <w:pStyle w:val="PL"/>
        <w:pBdr>
          <w:top w:val="single" w:sz="4" w:space="1" w:color="auto"/>
          <w:left w:val="single" w:sz="4" w:space="4" w:color="auto"/>
          <w:bottom w:val="single" w:sz="4" w:space="1" w:color="auto"/>
          <w:right w:val="single" w:sz="4" w:space="31" w:color="auto"/>
        </w:pBdr>
      </w:pPr>
      <w:r w:rsidRPr="00E5606C">
        <w:t xml:space="preserve">    </w:t>
      </w:r>
      <w:bookmarkStart w:id="106" w:name="_Hlk126820096"/>
      <w:r w:rsidRPr="00E5606C">
        <w:t>targetCellInfo-r17</w:t>
      </w:r>
      <w:bookmarkEnd w:id="106"/>
      <w:r w:rsidRPr="00E5606C">
        <w:t xml:space="preserve">                       </w:t>
      </w:r>
      <w:r w:rsidRPr="00E5606C">
        <w:rPr>
          <w:color w:val="993366"/>
        </w:rPr>
        <w:t>SEQUENCE</w:t>
      </w:r>
      <w:r w:rsidRPr="00E5606C">
        <w:t xml:space="preserve"> {</w:t>
      </w:r>
    </w:p>
    <w:p w14:paraId="26EC0437"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E5606C">
        <w:t xml:space="preserve">        targetPCellId-r17                        </w:t>
      </w:r>
      <w:r w:rsidRPr="006C05C4">
        <w:t>CGI-Info-Logging-r16</w:t>
      </w:r>
      <w:r w:rsidRPr="00E5606C">
        <w:t>,</w:t>
      </w:r>
    </w:p>
    <w:p w14:paraId="476A7DE2"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B55E3E">
        <w:t xml:space="preserve">        targetCellMeas-r17                       MeasResultSuccessHONR-r17               </w:t>
      </w:r>
      <w:r w:rsidRPr="00B55E3E">
        <w:rPr>
          <w:color w:val="993366"/>
        </w:rPr>
        <w:t>OPTIONAL</w:t>
      </w:r>
    </w:p>
    <w:p w14:paraId="5B6C2104"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B55E3E">
        <w:t xml:space="preserve">    },</w:t>
      </w:r>
    </w:p>
    <w:p w14:paraId="5E3B6F17"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B55E3E">
        <w:t xml:space="preserve">    measResultNeighCells-r17                 </w:t>
      </w:r>
      <w:r w:rsidRPr="00B55E3E">
        <w:rPr>
          <w:color w:val="993366"/>
        </w:rPr>
        <w:t>SEQUENCE</w:t>
      </w:r>
      <w:r w:rsidRPr="00B55E3E">
        <w:t xml:space="preserve"> {</w:t>
      </w:r>
    </w:p>
    <w:p w14:paraId="2921C0FD"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B55E3E">
        <w:t xml:space="preserve">        measResultListNR-r17                     MeasResultList2NR-r16                   </w:t>
      </w:r>
      <w:r w:rsidRPr="00B55E3E">
        <w:rPr>
          <w:color w:val="993366"/>
        </w:rPr>
        <w:t>OPTIONAL</w:t>
      </w:r>
      <w:r w:rsidRPr="00B55E3E">
        <w:t>,</w:t>
      </w:r>
    </w:p>
    <w:p w14:paraId="0EF57883"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B55E3E">
        <w:t xml:space="preserve">        measResultListEUTRA-r17                  MeasResultList2EUTRA-r16                </w:t>
      </w:r>
      <w:r w:rsidRPr="00B55E3E">
        <w:rPr>
          <w:color w:val="993366"/>
        </w:rPr>
        <w:t>OPTIONAL</w:t>
      </w:r>
    </w:p>
    <w:p w14:paraId="7A1D01D1"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B55E3E">
        <w:t xml:space="preserve">    }                                                                                    </w:t>
      </w:r>
      <w:r w:rsidRPr="00B55E3E">
        <w:rPr>
          <w:color w:val="993366"/>
        </w:rPr>
        <w:t>OPTIONAL</w:t>
      </w:r>
      <w:r w:rsidRPr="00B55E3E">
        <w:t>,</w:t>
      </w:r>
    </w:p>
    <w:p w14:paraId="45DBB306"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rPr>
          <w:rFonts w:eastAsia="DengXian"/>
        </w:rPr>
      </w:pPr>
      <w:r w:rsidRPr="00B55E3E">
        <w:t xml:space="preserve">    locationInfo-r17                         LocationInfo-r16                     </w:t>
      </w:r>
      <w:r>
        <w:t xml:space="preserve"> </w:t>
      </w:r>
      <w:r w:rsidRPr="00B55E3E">
        <w:t xml:space="preserve">      </w:t>
      </w:r>
      <w:r w:rsidRPr="00B55E3E">
        <w:rPr>
          <w:color w:val="993366"/>
        </w:rPr>
        <w:t>OPTIONAL</w:t>
      </w:r>
      <w:r w:rsidRPr="00B55E3E">
        <w:rPr>
          <w:rFonts w:eastAsia="DengXian"/>
        </w:rPr>
        <w:t>,</w:t>
      </w:r>
    </w:p>
    <w:p w14:paraId="186FD003"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B55E3E">
        <w:t xml:space="preserve">    timeSinceCHO-Reconfig-r17                TimeSinceCHO-Reconfig-r17                   </w:t>
      </w:r>
      <w:r w:rsidRPr="00B55E3E">
        <w:rPr>
          <w:color w:val="993366"/>
        </w:rPr>
        <w:t>OPTIONAL</w:t>
      </w:r>
      <w:r w:rsidRPr="00B55E3E">
        <w:t>,</w:t>
      </w:r>
    </w:p>
    <w:p w14:paraId="148BCCF9"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B55E3E">
        <w:t xml:space="preserve">    </w:t>
      </w:r>
      <w:bookmarkStart w:id="107" w:name="_Hlk126820305"/>
      <w:r w:rsidRPr="00B55E3E">
        <w:t>shr-Cause-r17</w:t>
      </w:r>
      <w:bookmarkEnd w:id="107"/>
      <w:r w:rsidRPr="00B55E3E">
        <w:t xml:space="preserve">                            SHR-Cause-r17                               </w:t>
      </w:r>
      <w:r w:rsidRPr="00B55E3E">
        <w:rPr>
          <w:color w:val="993366"/>
        </w:rPr>
        <w:t>OPTIONAL</w:t>
      </w:r>
      <w:r w:rsidRPr="00B55E3E">
        <w:t>,</w:t>
      </w:r>
    </w:p>
    <w:p w14:paraId="524323AE"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rPr>
          <w:rFonts w:eastAsia="DengXian"/>
        </w:rPr>
      </w:pPr>
      <w:r w:rsidRPr="00B55E3E">
        <w:t xml:space="preserve">    </w:t>
      </w:r>
      <w:r w:rsidRPr="00B55E3E">
        <w:rPr>
          <w:rFonts w:eastAsia="SimSun"/>
        </w:rPr>
        <w:t>ra-InformationCommon-r17</w:t>
      </w:r>
      <w:r w:rsidRPr="00B55E3E">
        <w:t xml:space="preserve">                 </w:t>
      </w:r>
      <w:r w:rsidRPr="00B55E3E">
        <w:rPr>
          <w:rFonts w:eastAsia="DengXian"/>
        </w:rPr>
        <w:t>RA-InformationCommon-r16</w:t>
      </w:r>
      <w:r w:rsidRPr="00B55E3E">
        <w:t xml:space="preserve">                    </w:t>
      </w:r>
      <w:r w:rsidRPr="00B55E3E">
        <w:rPr>
          <w:rFonts w:eastAsia="DengXian"/>
          <w:color w:val="993366"/>
        </w:rPr>
        <w:t>OPTIONAL</w:t>
      </w:r>
      <w:r w:rsidRPr="00B55E3E">
        <w:rPr>
          <w:rFonts w:eastAsia="DengXian"/>
        </w:rPr>
        <w:t>,</w:t>
      </w:r>
    </w:p>
    <w:p w14:paraId="74BC9F07"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B55E3E">
        <w:t xml:space="preserve">    </w:t>
      </w:r>
      <w:r w:rsidRPr="00B55E3E">
        <w:rPr>
          <w:rFonts w:eastAsia="DengXian"/>
        </w:rPr>
        <w:t>upInterruptionTimeAtHO-r17</w:t>
      </w:r>
      <w:r w:rsidRPr="00B55E3E">
        <w:t xml:space="preserve">               </w:t>
      </w:r>
      <w:r w:rsidRPr="00B55E3E">
        <w:rPr>
          <w:rFonts w:eastAsia="DengXian"/>
        </w:rPr>
        <w:t>UPInterruptionTimeAtHO-r17</w:t>
      </w:r>
      <w:r w:rsidRPr="00B55E3E">
        <w:t xml:space="preserve">                  </w:t>
      </w:r>
      <w:r w:rsidRPr="00B55E3E">
        <w:rPr>
          <w:rFonts w:eastAsia="DengXian"/>
          <w:color w:val="993366"/>
        </w:rPr>
        <w:t>OPTIONAL</w:t>
      </w:r>
      <w:r w:rsidRPr="00B55E3E">
        <w:rPr>
          <w:rFonts w:eastAsia="DengXian"/>
        </w:rPr>
        <w:t>,</w:t>
      </w:r>
    </w:p>
    <w:p w14:paraId="032DC110"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B55E3E">
        <w:t xml:space="preserve">    </w:t>
      </w:r>
      <w:bookmarkStart w:id="108" w:name="_Hlk134179006"/>
      <w:r w:rsidRPr="00B55E3E">
        <w:t>c-RNTI-r17</w:t>
      </w:r>
      <w:bookmarkEnd w:id="108"/>
      <w:r w:rsidRPr="00B55E3E">
        <w:t xml:space="preserve">                               RNTI-Value                                  </w:t>
      </w:r>
      <w:r w:rsidRPr="00B55E3E">
        <w:rPr>
          <w:rFonts w:eastAsia="DengXian"/>
          <w:color w:val="993366"/>
        </w:rPr>
        <w:t>OPTIONAL</w:t>
      </w:r>
      <w:r w:rsidRPr="00B55E3E">
        <w:t>,</w:t>
      </w:r>
    </w:p>
    <w:p w14:paraId="0D543D7C" w14:textId="77777777" w:rsidR="00080B55" w:rsidRPr="00B55E3E" w:rsidRDefault="00080B55" w:rsidP="00080B55">
      <w:pPr>
        <w:pStyle w:val="PL"/>
        <w:pBdr>
          <w:top w:val="single" w:sz="4" w:space="1" w:color="auto"/>
          <w:left w:val="single" w:sz="4" w:space="4" w:color="auto"/>
          <w:bottom w:val="single" w:sz="4" w:space="1" w:color="auto"/>
          <w:right w:val="single" w:sz="4" w:space="31" w:color="auto"/>
        </w:pBdr>
      </w:pPr>
      <w:r w:rsidRPr="00B55E3E">
        <w:t xml:space="preserve">    </w:t>
      </w:r>
      <w:r>
        <w:t>…</w:t>
      </w:r>
    </w:p>
    <w:p w14:paraId="73C77A24" w14:textId="77777777" w:rsidR="00080B55" w:rsidRPr="00E5606C" w:rsidRDefault="00080B55" w:rsidP="00080B55">
      <w:pPr>
        <w:pStyle w:val="PL"/>
        <w:pBdr>
          <w:top w:val="single" w:sz="4" w:space="1" w:color="auto"/>
          <w:left w:val="single" w:sz="4" w:space="4" w:color="auto"/>
          <w:bottom w:val="single" w:sz="4" w:space="1" w:color="auto"/>
          <w:right w:val="single" w:sz="4" w:space="31" w:color="auto"/>
        </w:pBdr>
      </w:pPr>
      <w:r w:rsidRPr="00B55E3E">
        <w:t>}</w:t>
      </w:r>
    </w:p>
    <w:p w14:paraId="46A59B79" w14:textId="77777777" w:rsidR="00080B55" w:rsidRDefault="00080B55" w:rsidP="00080B55"/>
    <w:p w14:paraId="5A4A4AF2" w14:textId="77777777" w:rsidR="00080B55" w:rsidRDefault="00080B55" w:rsidP="00080B55"/>
    <w:p w14:paraId="6F2A0585" w14:textId="77777777" w:rsidR="00080B55" w:rsidRDefault="00080B55" w:rsidP="00080B55">
      <w:r>
        <w:t>The following changes to the ASN.1 are suggested for Rel-18:</w:t>
      </w:r>
    </w:p>
    <w:p w14:paraId="3A22B6D4" w14:textId="77777777" w:rsidR="00080B55" w:rsidRDefault="00080B55" w:rsidP="005B6815">
      <w:pPr>
        <w:pStyle w:val="ListNumber"/>
        <w:numPr>
          <w:ilvl w:val="0"/>
          <w:numId w:val="0"/>
        </w:numPr>
      </w:pPr>
    </w:p>
    <w:p w14:paraId="60CCB210" w14:textId="77777777" w:rsidR="00080B55" w:rsidRDefault="00080B55" w:rsidP="009225CA">
      <w:pPr>
        <w:pStyle w:val="ListNumber"/>
        <w:numPr>
          <w:ilvl w:val="0"/>
          <w:numId w:val="0"/>
        </w:numPr>
      </w:pPr>
      <w:r>
        <w:t xml:space="preserve">The </w:t>
      </w:r>
      <w:r w:rsidRPr="006C05C4">
        <w:rPr>
          <w:rFonts w:ascii="Courier New" w:hAnsi="Courier New" w:cs="Courier New"/>
        </w:rPr>
        <w:t>shr-Cause-r17</w:t>
      </w:r>
      <w:r>
        <w:t xml:space="preserve"> IE expresses the cause of the SHR. As we propose a to add the RACH issues proposed in </w:t>
      </w:r>
      <w:r w:rsidRPr="00F20CD4">
        <w:t>clause 3.1.1 as</w:t>
      </w:r>
      <w:r>
        <w:t xml:space="preserve"> a new cause, the field</w:t>
      </w:r>
      <w:r w:rsidRPr="00022012">
        <w:t xml:space="preserve"> </w:t>
      </w:r>
      <w:r>
        <w:t>needs to be extended to be able to express this.</w:t>
      </w:r>
    </w:p>
    <w:p w14:paraId="27D801DB" w14:textId="77777777" w:rsidR="00080B55" w:rsidRDefault="00080B55" w:rsidP="00080B55">
      <w:pPr>
        <w:pStyle w:val="Proposal"/>
        <w:tabs>
          <w:tab w:val="num" w:pos="1304"/>
        </w:tabs>
      </w:pPr>
      <w:bookmarkStart w:id="109" w:name="_Toc127468562"/>
      <w:bookmarkStart w:id="110" w:name="_Toc134720891"/>
      <w:r>
        <w:t>For Inter-RAT SHR, t</w:t>
      </w:r>
      <w:r w:rsidRPr="00B11412">
        <w:t xml:space="preserve">he </w:t>
      </w:r>
      <w:r w:rsidRPr="009D1984">
        <w:rPr>
          <w:rFonts w:ascii="Courier New" w:hAnsi="Courier New" w:cs="Courier New"/>
        </w:rPr>
        <w:t>shr-Cause-r17</w:t>
      </w:r>
      <w:r w:rsidRPr="00B11412">
        <w:t xml:space="preserve"> IE needs to be extended with a new cause for RACH issues</w:t>
      </w:r>
      <w:r>
        <w:t>.</w:t>
      </w:r>
      <w:bookmarkEnd w:id="109"/>
      <w:bookmarkEnd w:id="110"/>
    </w:p>
    <w:p w14:paraId="24CBF392" w14:textId="77777777" w:rsidR="00080B55" w:rsidRDefault="00080B55" w:rsidP="009225CA">
      <w:pPr>
        <w:pStyle w:val="ListNumber"/>
        <w:numPr>
          <w:ilvl w:val="0"/>
          <w:numId w:val="0"/>
        </w:numPr>
      </w:pPr>
    </w:p>
    <w:p w14:paraId="3F4BE6AE" w14:textId="3BD5A43D" w:rsidR="00080B55" w:rsidRPr="003F1F70" w:rsidRDefault="00080B55" w:rsidP="00080B55">
      <w:pPr>
        <w:pStyle w:val="Proposal"/>
        <w:tabs>
          <w:tab w:val="num" w:pos="1304"/>
        </w:tabs>
        <w:rPr>
          <w:rFonts w:cs="Arial"/>
        </w:rPr>
      </w:pPr>
      <w:bookmarkStart w:id="111" w:name="_Toc134720892"/>
      <w:r w:rsidRPr="003F1F70">
        <w:rPr>
          <w:rFonts w:cs="Arial"/>
        </w:rPr>
        <w:t xml:space="preserve">The </w:t>
      </w:r>
      <w:r w:rsidRPr="003F1F70">
        <w:rPr>
          <w:rFonts w:eastAsia="SimSun" w:cs="Arial"/>
        </w:rPr>
        <w:t>ra-InformationCommon-r17</w:t>
      </w:r>
      <w:r w:rsidRPr="003F1F70">
        <w:rPr>
          <w:rFonts w:cs="Arial"/>
        </w:rPr>
        <w:t xml:space="preserve"> IE contains information regarding the NR RACH procedure. For handovers to LTE, we need to be able to include information about the LTE RACH procedure. Such information enable optimization on selecting the right target cell based on the RACH performance.</w:t>
      </w:r>
      <w:bookmarkStart w:id="112" w:name="_Toc127468563"/>
      <w:r w:rsidRPr="003F1F70">
        <w:rPr>
          <w:rFonts w:cs="Arial"/>
        </w:rPr>
        <w:t>For Inter-RAT SHR, an IE for LTE RA related information needs to be added.</w:t>
      </w:r>
      <w:bookmarkEnd w:id="111"/>
      <w:bookmarkEnd w:id="112"/>
    </w:p>
    <w:p w14:paraId="5DDD755B" w14:textId="77777777" w:rsidR="00080B55" w:rsidRDefault="00080B55" w:rsidP="009225CA">
      <w:pPr>
        <w:pStyle w:val="ListNumber"/>
        <w:numPr>
          <w:ilvl w:val="0"/>
          <w:numId w:val="0"/>
        </w:numPr>
      </w:pPr>
    </w:p>
    <w:p w14:paraId="13EBFD3A" w14:textId="0E0A9BE5" w:rsidR="00080B55" w:rsidRDefault="00080B55" w:rsidP="009225CA">
      <w:pPr>
        <w:pStyle w:val="ListNumber"/>
        <w:numPr>
          <w:ilvl w:val="0"/>
          <w:numId w:val="0"/>
        </w:numPr>
      </w:pPr>
      <w:bookmarkStart w:id="113" w:name="_Hlk126843700"/>
      <w:r>
        <w:t xml:space="preserve">The </w:t>
      </w:r>
      <w:r w:rsidRPr="006C05C4">
        <w:rPr>
          <w:rFonts w:ascii="Courier New" w:hAnsi="Courier New" w:cs="Courier New"/>
        </w:rPr>
        <w:t>c-RNTI-r17</w:t>
      </w:r>
      <w:r>
        <w:t xml:space="preserve"> </w:t>
      </w:r>
      <w:bookmarkEnd w:id="113"/>
      <w:r>
        <w:t xml:space="preserve">field contains the C-RNTI for the target PCell. The reason for including this field for Intra-NR handovers is for the target node to use the C-RNTI to find the UE Context for that UE. </w:t>
      </w:r>
      <w:r>
        <w:br/>
      </w:r>
      <w:r>
        <w:br/>
      </w:r>
      <w:r w:rsidRPr="003F1F70">
        <w:rPr>
          <w:rFonts w:ascii="Arial" w:hAnsi="Arial" w:cs="Arial"/>
        </w:rPr>
        <w:t>For Inter-RAT SHR, the situation is different. The Inter-RAT SHR is used for optimizing the T310 and T312 timers, as has been agreed. As these timers are configured by the source (NR) PCell, only the source PCell can be optimized by Inter-RAT SHR. Therefore, the Inter-RAT SHR should contain the C-RNTI for the source cell. Here, we propose to re-use this attribute, and update the Description for this field to reflect this. Furthermore, the procedural text for this field needs to be updated.</w:t>
      </w:r>
    </w:p>
    <w:p w14:paraId="5F5E5364" w14:textId="77777777" w:rsidR="00080B55" w:rsidRDefault="00080B55" w:rsidP="00080B55">
      <w:pPr>
        <w:pStyle w:val="Proposal"/>
        <w:tabs>
          <w:tab w:val="num" w:pos="1304"/>
        </w:tabs>
        <w:jc w:val="left"/>
      </w:pPr>
      <w:bookmarkStart w:id="114" w:name="_Toc127468564"/>
      <w:bookmarkStart w:id="115" w:name="_Toc134720893"/>
      <w:r>
        <w:t>For Inter-RAT SHR, t</w:t>
      </w:r>
      <w:r w:rsidRPr="00AF2939">
        <w:t>he</w:t>
      </w:r>
      <w:r>
        <w:t xml:space="preserve"> description for the</w:t>
      </w:r>
      <w:r w:rsidRPr="00AF2939">
        <w:t xml:space="preserve"> </w:t>
      </w:r>
      <w:r w:rsidRPr="006C05C4">
        <w:rPr>
          <w:rFonts w:ascii="Courier New" w:hAnsi="Courier New" w:cs="Courier New"/>
        </w:rPr>
        <w:t>c-RNTI-r17</w:t>
      </w:r>
      <w:r w:rsidRPr="00AF2939">
        <w:t xml:space="preserve"> IE</w:t>
      </w:r>
      <w:r>
        <w:t xml:space="preserve"> needs to be updated so it refers to the source cell instead of the target cell.</w:t>
      </w:r>
      <w:bookmarkEnd w:id="114"/>
      <w:bookmarkEnd w:id="115"/>
    </w:p>
    <w:p w14:paraId="40B1FB72" w14:textId="2CD2CB4E" w:rsidR="00080B55" w:rsidRDefault="009225CA" w:rsidP="00080B55">
      <w:pPr>
        <w:pStyle w:val="Heading2"/>
      </w:pPr>
      <w:bookmarkStart w:id="116" w:name="_Hlk134177800"/>
      <w:r>
        <w:t>4</w:t>
      </w:r>
      <w:r w:rsidR="00080B55">
        <w:t>.</w:t>
      </w:r>
      <w:r>
        <w:t>4</w:t>
      </w:r>
      <w:r w:rsidR="00080B55">
        <w:tab/>
        <w:t>Intra-RAT SHR</w:t>
      </w:r>
    </w:p>
    <w:p w14:paraId="07080F45" w14:textId="77777777" w:rsidR="00080B55" w:rsidRDefault="00080B55" w:rsidP="00080B55">
      <w:pPr>
        <w:rPr>
          <w:rFonts w:ascii="Arial" w:hAnsi="Arial" w:cs="Arial"/>
        </w:rPr>
      </w:pPr>
      <w:r>
        <w:rPr>
          <w:rFonts w:ascii="Arial" w:hAnsi="Arial" w:cs="Arial"/>
        </w:rPr>
        <w:t>Logging the time between SHR generation and fetching should be extended to cover not only the Inter-RAT SHR case, but also the Intra-NR SHR case. When doing this, the time is logged in the CEF report, the RLF report, the SPR, the Intra-NR SHR and the Inter-RAT SHR. This way, the possibility of correlating these reports will be improved, for example when a RLF occurs after a SHR, or a SHR occurs after RLF.</w:t>
      </w:r>
    </w:p>
    <w:p w14:paraId="5B3E8F26" w14:textId="77777777" w:rsidR="00080B55" w:rsidRDefault="00080B55" w:rsidP="00080B55">
      <w:pPr>
        <w:pStyle w:val="Proposal"/>
        <w:tabs>
          <w:tab w:val="num" w:pos="1304"/>
        </w:tabs>
        <w:jc w:val="left"/>
      </w:pPr>
      <w:bookmarkStart w:id="117" w:name="_Toc134720894"/>
      <w:r>
        <w:t>Intra-NR SHR to include the time between report generation and report fetching.</w:t>
      </w:r>
      <w:bookmarkEnd w:id="117"/>
    </w:p>
    <w:bookmarkEnd w:id="116"/>
    <w:p w14:paraId="42BACEFD" w14:textId="77777777" w:rsidR="00080B55" w:rsidRDefault="00080B55" w:rsidP="001C1A34">
      <w:pPr>
        <w:pStyle w:val="Proposal"/>
        <w:numPr>
          <w:ilvl w:val="0"/>
          <w:numId w:val="0"/>
        </w:numPr>
        <w:rPr>
          <w:rFonts w:cs="Arial"/>
          <w:lang w:val="en-US"/>
        </w:rPr>
      </w:pPr>
    </w:p>
    <w:p w14:paraId="07EEF9AC" w14:textId="77777777" w:rsidR="00080B55" w:rsidRDefault="00080B55" w:rsidP="001C1A34">
      <w:pPr>
        <w:pStyle w:val="Proposal"/>
        <w:numPr>
          <w:ilvl w:val="0"/>
          <w:numId w:val="0"/>
        </w:numPr>
        <w:rPr>
          <w:rFonts w:cs="Arial"/>
          <w:lang w:val="en-US"/>
        </w:rPr>
      </w:pPr>
    </w:p>
    <w:p w14:paraId="1FF6A9C1" w14:textId="77777777" w:rsidR="00080B55" w:rsidRDefault="00080B55" w:rsidP="001C1A34">
      <w:pPr>
        <w:pStyle w:val="Proposal"/>
        <w:numPr>
          <w:ilvl w:val="0"/>
          <w:numId w:val="0"/>
        </w:numPr>
        <w:rPr>
          <w:rFonts w:cs="Arial"/>
          <w:lang w:val="en-US"/>
        </w:rPr>
      </w:pPr>
    </w:p>
    <w:p w14:paraId="7329110E" w14:textId="77777777" w:rsidR="00080B55" w:rsidRDefault="00080B55" w:rsidP="001C1A34">
      <w:pPr>
        <w:pStyle w:val="Proposal"/>
        <w:numPr>
          <w:ilvl w:val="0"/>
          <w:numId w:val="0"/>
        </w:numPr>
        <w:rPr>
          <w:rFonts w:cs="Arial"/>
          <w:lang w:val="en-US"/>
        </w:rPr>
      </w:pPr>
    </w:p>
    <w:p w14:paraId="19FB4C49" w14:textId="77777777" w:rsidR="00080B55" w:rsidRDefault="00080B55" w:rsidP="001C1A34">
      <w:pPr>
        <w:pStyle w:val="Proposal"/>
        <w:numPr>
          <w:ilvl w:val="0"/>
          <w:numId w:val="0"/>
        </w:numPr>
        <w:rPr>
          <w:rFonts w:cs="Arial"/>
          <w:lang w:val="en-US"/>
        </w:rPr>
      </w:pPr>
    </w:p>
    <w:p w14:paraId="19B5E529" w14:textId="77777777" w:rsidR="00080B55" w:rsidRDefault="00080B55" w:rsidP="001C1A34">
      <w:pPr>
        <w:pStyle w:val="Proposal"/>
        <w:numPr>
          <w:ilvl w:val="0"/>
          <w:numId w:val="0"/>
        </w:numPr>
        <w:rPr>
          <w:rFonts w:cs="Arial"/>
          <w:lang w:val="en-US"/>
        </w:rPr>
      </w:pPr>
    </w:p>
    <w:p w14:paraId="139D1F66" w14:textId="77777777" w:rsidR="00080B55" w:rsidRDefault="00080B55" w:rsidP="001C1A34">
      <w:pPr>
        <w:pStyle w:val="Proposal"/>
        <w:numPr>
          <w:ilvl w:val="0"/>
          <w:numId w:val="0"/>
        </w:numPr>
        <w:rPr>
          <w:rFonts w:cs="Arial"/>
          <w:lang w:val="en-US"/>
        </w:rPr>
      </w:pPr>
    </w:p>
    <w:p w14:paraId="2624715A" w14:textId="77777777" w:rsidR="00080B55" w:rsidRDefault="00080B55" w:rsidP="001C1A34">
      <w:pPr>
        <w:pStyle w:val="Proposal"/>
        <w:numPr>
          <w:ilvl w:val="0"/>
          <w:numId w:val="0"/>
        </w:numPr>
        <w:rPr>
          <w:rFonts w:cs="Arial"/>
          <w:lang w:val="en-US"/>
        </w:rPr>
      </w:pPr>
    </w:p>
    <w:p w14:paraId="0283B2D9" w14:textId="77777777" w:rsidR="00080B55" w:rsidRDefault="00080B55" w:rsidP="001C1A34">
      <w:pPr>
        <w:pStyle w:val="Proposal"/>
        <w:numPr>
          <w:ilvl w:val="0"/>
          <w:numId w:val="0"/>
        </w:numPr>
        <w:rPr>
          <w:rFonts w:cs="Arial"/>
          <w:lang w:val="en-US"/>
        </w:rPr>
      </w:pPr>
    </w:p>
    <w:p w14:paraId="3022DF58" w14:textId="77777777" w:rsidR="00080B55" w:rsidRDefault="00080B55" w:rsidP="001C1A34">
      <w:pPr>
        <w:pStyle w:val="Proposal"/>
        <w:numPr>
          <w:ilvl w:val="0"/>
          <w:numId w:val="0"/>
        </w:numPr>
        <w:rPr>
          <w:rFonts w:cs="Arial"/>
          <w:lang w:val="en-US"/>
        </w:rPr>
      </w:pPr>
    </w:p>
    <w:p w14:paraId="39F8AA05" w14:textId="77777777" w:rsidR="00080B55" w:rsidRDefault="00080B55" w:rsidP="001C1A34">
      <w:pPr>
        <w:pStyle w:val="Proposal"/>
        <w:numPr>
          <w:ilvl w:val="0"/>
          <w:numId w:val="0"/>
        </w:numPr>
        <w:rPr>
          <w:rFonts w:cs="Arial"/>
          <w:lang w:val="en-US"/>
        </w:rPr>
      </w:pPr>
    </w:p>
    <w:p w14:paraId="64CB1F59" w14:textId="77777777" w:rsidR="00080B55" w:rsidRDefault="00080B55" w:rsidP="001C1A34">
      <w:pPr>
        <w:pStyle w:val="Proposal"/>
        <w:numPr>
          <w:ilvl w:val="0"/>
          <w:numId w:val="0"/>
        </w:numPr>
        <w:rPr>
          <w:rFonts w:cs="Arial"/>
          <w:lang w:val="en-US"/>
        </w:rPr>
      </w:pPr>
    </w:p>
    <w:p w14:paraId="11740C64" w14:textId="77777777" w:rsidR="00080B55" w:rsidRDefault="00080B55" w:rsidP="001C1A34">
      <w:pPr>
        <w:pStyle w:val="Proposal"/>
        <w:numPr>
          <w:ilvl w:val="0"/>
          <w:numId w:val="0"/>
        </w:numPr>
        <w:rPr>
          <w:rFonts w:cs="Arial"/>
          <w:lang w:val="en-US"/>
        </w:rPr>
      </w:pPr>
    </w:p>
    <w:p w14:paraId="67BA3226" w14:textId="77777777" w:rsidR="00080B55" w:rsidRDefault="00080B55" w:rsidP="001C1A34">
      <w:pPr>
        <w:pStyle w:val="Proposal"/>
        <w:numPr>
          <w:ilvl w:val="0"/>
          <w:numId w:val="0"/>
        </w:numPr>
        <w:rPr>
          <w:rFonts w:cs="Arial"/>
          <w:lang w:val="en-US"/>
        </w:rPr>
      </w:pPr>
    </w:p>
    <w:p w14:paraId="6B1784A6" w14:textId="77777777" w:rsidR="00080B55" w:rsidRDefault="00080B55" w:rsidP="001C1A34">
      <w:pPr>
        <w:pStyle w:val="Proposal"/>
        <w:numPr>
          <w:ilvl w:val="0"/>
          <w:numId w:val="0"/>
        </w:numPr>
        <w:rPr>
          <w:rFonts w:cs="Arial"/>
          <w:lang w:val="en-US"/>
        </w:rPr>
      </w:pPr>
    </w:p>
    <w:p w14:paraId="03E25E6D" w14:textId="77777777" w:rsidR="00080B55" w:rsidRDefault="00080B55" w:rsidP="001C1A34">
      <w:pPr>
        <w:pStyle w:val="Proposal"/>
        <w:numPr>
          <w:ilvl w:val="0"/>
          <w:numId w:val="0"/>
        </w:numPr>
        <w:rPr>
          <w:rFonts w:cs="Arial"/>
          <w:lang w:val="en-US"/>
        </w:rPr>
      </w:pPr>
    </w:p>
    <w:p w14:paraId="140AD551" w14:textId="77777777" w:rsidR="00080B55" w:rsidRDefault="00080B55" w:rsidP="001C1A34">
      <w:pPr>
        <w:pStyle w:val="Proposal"/>
        <w:numPr>
          <w:ilvl w:val="0"/>
          <w:numId w:val="0"/>
        </w:numPr>
        <w:rPr>
          <w:rFonts w:cs="Arial"/>
          <w:lang w:val="en-US"/>
        </w:rPr>
      </w:pPr>
    </w:p>
    <w:p w14:paraId="4C6BDB9E" w14:textId="77777777" w:rsidR="00080B55" w:rsidRDefault="00080B55" w:rsidP="001C1A34">
      <w:pPr>
        <w:pStyle w:val="Proposal"/>
        <w:numPr>
          <w:ilvl w:val="0"/>
          <w:numId w:val="0"/>
        </w:numPr>
        <w:rPr>
          <w:rFonts w:cs="Arial"/>
          <w:lang w:val="en-US"/>
        </w:rPr>
      </w:pPr>
    </w:p>
    <w:p w14:paraId="60796072" w14:textId="6163D700" w:rsidR="150D44B3" w:rsidRDefault="00CA183F" w:rsidP="5D3F2F88">
      <w:pPr>
        <w:pStyle w:val="Heading1"/>
        <w:rPr>
          <w:rFonts w:eastAsia="Arial" w:cs="Arial"/>
          <w:color w:val="000000" w:themeColor="text1"/>
          <w:szCs w:val="36"/>
          <w:lang w:val="en-US"/>
        </w:rPr>
      </w:pPr>
      <w:r>
        <w:rPr>
          <w:rFonts w:eastAsia="Arial" w:cs="Arial"/>
          <w:color w:val="000000" w:themeColor="text1"/>
          <w:szCs w:val="36"/>
        </w:rPr>
        <w:lastRenderedPageBreak/>
        <w:t>5</w:t>
      </w:r>
      <w:r w:rsidR="150D44B3">
        <w:tab/>
      </w:r>
      <w:r w:rsidR="150D44B3" w:rsidRPr="5D3F2F88">
        <w:rPr>
          <w:rFonts w:eastAsia="Arial" w:cs="Arial"/>
          <w:color w:val="000000" w:themeColor="text1"/>
          <w:szCs w:val="36"/>
        </w:rPr>
        <w:t>MRO for SCG Failure and fast MCG recovery</w:t>
      </w:r>
    </w:p>
    <w:p w14:paraId="1A6A06D5" w14:textId="69AE8B30" w:rsidR="5D3F2F88" w:rsidRDefault="5D3F2F88" w:rsidP="5D3F2F88">
      <w:pPr>
        <w:tabs>
          <w:tab w:val="left" w:pos="1701"/>
          <w:tab w:val="num" w:pos="1304"/>
        </w:tabs>
        <w:spacing w:after="120"/>
        <w:ind w:left="1304" w:hanging="1304"/>
        <w:rPr>
          <w:rFonts w:ascii="Arial" w:eastAsia="Arial" w:hAnsi="Arial" w:cs="Arial"/>
          <w:b/>
          <w:bCs/>
          <w:color w:val="000000" w:themeColor="text1"/>
          <w:sz w:val="24"/>
          <w:szCs w:val="24"/>
          <w:lang w:val="en-US"/>
        </w:rPr>
      </w:pPr>
    </w:p>
    <w:p w14:paraId="6E7EE473" w14:textId="45160AB3" w:rsidR="150D44B3" w:rsidRPr="00CA183F" w:rsidRDefault="150D44B3" w:rsidP="00CA183F">
      <w:pPr>
        <w:contextualSpacing/>
        <w:rPr>
          <w:rFonts w:ascii="Arial" w:eastAsia="Arial" w:hAnsi="Arial" w:cs="Arial"/>
          <w:color w:val="000000" w:themeColor="text1"/>
          <w:sz w:val="28"/>
          <w:szCs w:val="28"/>
          <w:lang w:val="en-US"/>
        </w:rPr>
      </w:pPr>
      <w:r w:rsidRPr="00CA183F">
        <w:rPr>
          <w:rFonts w:ascii="Arial" w:eastAsia="Arial" w:hAnsi="Arial" w:cs="Arial"/>
          <w:b/>
          <w:bCs/>
          <w:color w:val="000000" w:themeColor="text1"/>
          <w:sz w:val="28"/>
          <w:szCs w:val="28"/>
        </w:rPr>
        <w:t xml:space="preserve">SCG failure information enhancement </w:t>
      </w:r>
    </w:p>
    <w:p w14:paraId="301FD15B" w14:textId="1823C2FB" w:rsidR="150D44B3" w:rsidRDefault="150D44B3" w:rsidP="5D3F2F88">
      <w:pPr>
        <w:pStyle w:val="BodyText"/>
        <w:spacing w:before="120"/>
        <w:rPr>
          <w:rFonts w:eastAsia="Arial" w:cs="Arial"/>
          <w:color w:val="000000" w:themeColor="text1"/>
          <w:lang w:val="en-US"/>
        </w:rPr>
      </w:pPr>
      <w:r w:rsidRPr="5D3F2F88">
        <w:rPr>
          <w:rFonts w:eastAsia="Arial" w:cs="Arial"/>
          <w:color w:val="000000" w:themeColor="text1"/>
        </w:rPr>
        <w:t>At the time of SCG failure, there exists some CPAC information and measurements at the UE (not available at the network side) that are valuable for the network and CPAC configuration optimization. We believe that status information of the MCG at the time of SCG Failure is valuable for the network in taking a correct decision upon SCG Failure. Some of the corrective actions that the network can take using the MCG status at the time of SCG failure could be performing PCell change besides the PSCell change to avoid potential failure at the MCG. Such status information can be deduced by reporting the following information:</w:t>
      </w:r>
    </w:p>
    <w:p w14:paraId="635438C8" w14:textId="02BEBCA5" w:rsidR="150D44B3" w:rsidRDefault="150D44B3" w:rsidP="2BFCE5CC">
      <w:pPr>
        <w:pStyle w:val="BodyText"/>
        <w:numPr>
          <w:ilvl w:val="0"/>
          <w:numId w:val="1"/>
        </w:numPr>
        <w:spacing w:before="120"/>
        <w:rPr>
          <w:rFonts w:eastAsia="Arial" w:cs="Arial"/>
          <w:color w:val="000000" w:themeColor="text1"/>
          <w:lang w:val="en-US"/>
        </w:rPr>
      </w:pPr>
      <w:r w:rsidRPr="2BFCE5CC">
        <w:rPr>
          <w:rFonts w:eastAsia="Arial" w:cs="Arial"/>
          <w:color w:val="000000" w:themeColor="text1"/>
          <w:lang w:val="en-US"/>
        </w:rPr>
        <w:t>The supervision timers running at the MCG such as T310 and T312 values, if running at the time of SCG Failure</w:t>
      </w:r>
      <w:r w:rsidR="27874789" w:rsidRPr="67B017A3">
        <w:rPr>
          <w:rFonts w:eastAsia="Arial" w:cs="Arial"/>
          <w:color w:val="000000" w:themeColor="text1"/>
          <w:lang w:val="en-US"/>
        </w:rPr>
        <w:t>,</w:t>
      </w:r>
    </w:p>
    <w:p w14:paraId="255F5D6C" w14:textId="5CC4B8FB" w:rsidR="5D3F2F88" w:rsidRDefault="150D44B3" w:rsidP="2BFCE5CC">
      <w:pPr>
        <w:pStyle w:val="BodyText"/>
        <w:numPr>
          <w:ilvl w:val="0"/>
          <w:numId w:val="1"/>
        </w:numPr>
        <w:spacing w:before="120"/>
        <w:rPr>
          <w:rFonts w:eastAsia="Arial" w:cs="Arial"/>
          <w:color w:val="000000" w:themeColor="text1"/>
          <w:lang w:val="en-US"/>
        </w:rPr>
      </w:pPr>
      <w:r w:rsidRPr="2BFCE5CC">
        <w:rPr>
          <w:rFonts w:eastAsia="Arial" w:cs="Arial"/>
          <w:color w:val="000000" w:themeColor="text1"/>
          <w:lang w:val="en-US"/>
        </w:rPr>
        <w:t>RLC retransmission counter value if running at the MCG</w:t>
      </w:r>
      <w:r w:rsidR="494A3140" w:rsidRPr="67B017A3">
        <w:rPr>
          <w:rFonts w:eastAsia="Arial" w:cs="Arial"/>
          <w:color w:val="000000" w:themeColor="text1"/>
          <w:lang w:val="en-US"/>
        </w:rPr>
        <w:t>.</w:t>
      </w:r>
      <w:r w:rsidR="00FA2498">
        <w:rPr>
          <w:rFonts w:eastAsia="Arial"/>
        </w:rPr>
        <w:tab/>
      </w:r>
      <w:r w:rsidR="5D3F2F88">
        <w:br/>
      </w:r>
    </w:p>
    <w:p w14:paraId="5E58F8F9" w14:textId="719853CE" w:rsidR="150D44B3" w:rsidRDefault="150D44B3" w:rsidP="5D3F2F88">
      <w:pPr>
        <w:pStyle w:val="Observation"/>
        <w:ind w:left="1588" w:hanging="1588"/>
        <w:rPr>
          <w:rFonts w:eastAsia="Arial" w:cs="Arial"/>
          <w:color w:val="000000" w:themeColor="text1"/>
          <w:lang w:val="en-US"/>
        </w:rPr>
      </w:pPr>
      <w:bookmarkStart w:id="118" w:name="_Toc134720859"/>
      <w:r w:rsidRPr="2BFCE5CC">
        <w:rPr>
          <w:rFonts w:eastAsia="Arial" w:cs="Arial"/>
          <w:color w:val="000000" w:themeColor="text1"/>
        </w:rPr>
        <w:t>At the time of SCGFailureInformation transmission, knowledge of the MCG status i.e., whether MCG is close to failure or not (e.g., T310 or T312 timers’ values, if running at the MCG) is beneficial for the network decision.</w:t>
      </w:r>
      <w:bookmarkEnd w:id="118"/>
      <w:r w:rsidR="00FA2498">
        <w:rPr>
          <w:rFonts w:eastAsia="Arial" w:cs="Arial"/>
          <w:color w:val="000000" w:themeColor="text1"/>
        </w:rPr>
        <w:tab/>
      </w:r>
      <w:r>
        <w:br/>
      </w:r>
    </w:p>
    <w:p w14:paraId="12BBC636" w14:textId="6EF243F4" w:rsidR="5D3F2F88" w:rsidRDefault="150D44B3" w:rsidP="2BFCE5CC">
      <w:pPr>
        <w:pStyle w:val="BodyText"/>
        <w:spacing w:before="120"/>
        <w:rPr>
          <w:rFonts w:eastAsia="Arial" w:cs="Arial"/>
          <w:color w:val="000000" w:themeColor="text1"/>
          <w:lang w:val="en-US"/>
        </w:rPr>
      </w:pPr>
      <w:r w:rsidRPr="2BFCE5CC">
        <w:rPr>
          <w:rFonts w:eastAsia="Arial" w:cs="Arial"/>
          <w:color w:val="000000" w:themeColor="text1"/>
          <w:lang w:val="en-US"/>
        </w:rPr>
        <w:t>Hence, we propose the following</w:t>
      </w:r>
      <w:r w:rsidR="1FE4DD45" w:rsidRPr="2BFCE5CC">
        <w:rPr>
          <w:rFonts w:eastAsia="Arial" w:cs="Arial"/>
          <w:color w:val="000000" w:themeColor="text1"/>
          <w:lang w:val="en-US"/>
        </w:rPr>
        <w:t>:</w:t>
      </w:r>
    </w:p>
    <w:p w14:paraId="4E421D3E" w14:textId="06AD0A87" w:rsidR="150D44B3" w:rsidRDefault="150D44B3" w:rsidP="5D3F2F88">
      <w:pPr>
        <w:pStyle w:val="Proposal"/>
        <w:tabs>
          <w:tab w:val="num" w:pos="1304"/>
        </w:tabs>
        <w:rPr>
          <w:rFonts w:eastAsia="Arial" w:cs="Arial"/>
          <w:color w:val="000000" w:themeColor="text1"/>
          <w:lang w:val="en-US"/>
        </w:rPr>
      </w:pPr>
      <w:bookmarkStart w:id="119" w:name="_Toc134720895"/>
      <w:r w:rsidRPr="5D3F2F88">
        <w:rPr>
          <w:rFonts w:eastAsia="Arial" w:cs="Arial"/>
          <w:color w:val="000000" w:themeColor="text1"/>
        </w:rPr>
        <w:t>UE reports the following information in SCGFailureInformation message:</w:t>
      </w:r>
      <w:bookmarkEnd w:id="119"/>
    </w:p>
    <w:p w14:paraId="19EB434E" w14:textId="6E036D99" w:rsidR="150D44B3" w:rsidRDefault="150D44B3" w:rsidP="5D3F2F88">
      <w:pPr>
        <w:pStyle w:val="Proposal"/>
        <w:tabs>
          <w:tab w:val="num" w:pos="1304"/>
        </w:tabs>
        <w:spacing w:before="120"/>
        <w:rPr>
          <w:rFonts w:eastAsia="Arial" w:cs="Arial"/>
          <w:color w:val="000000" w:themeColor="text1"/>
          <w:lang w:val="en-US"/>
        </w:rPr>
      </w:pPr>
      <w:bookmarkStart w:id="120" w:name="_Toc134720896"/>
      <w:r w:rsidRPr="5D3F2F88">
        <w:rPr>
          <w:rFonts w:eastAsia="Arial" w:cs="Arial"/>
          <w:color w:val="000000" w:themeColor="text1"/>
          <w:lang w:val="en-US"/>
        </w:rPr>
        <w:t>the MCG timers such as T310 and T312 values if running,</w:t>
      </w:r>
      <w:bookmarkEnd w:id="120"/>
    </w:p>
    <w:p w14:paraId="2A3C6243" w14:textId="3BCD809D" w:rsidR="150D44B3" w:rsidRDefault="150D44B3" w:rsidP="5D3F2F88">
      <w:pPr>
        <w:pStyle w:val="Proposal"/>
        <w:tabs>
          <w:tab w:val="num" w:pos="1304"/>
        </w:tabs>
        <w:spacing w:before="120"/>
        <w:rPr>
          <w:rFonts w:eastAsia="Arial" w:cs="Arial"/>
          <w:color w:val="000000" w:themeColor="text1"/>
          <w:lang w:val="en-US"/>
        </w:rPr>
      </w:pPr>
      <w:bookmarkStart w:id="121" w:name="_Toc134720897"/>
      <w:r w:rsidRPr="5D3F2F88">
        <w:rPr>
          <w:rFonts w:eastAsia="Arial" w:cs="Arial"/>
          <w:color w:val="000000" w:themeColor="text1"/>
          <w:lang w:val="en-US"/>
        </w:rPr>
        <w:t>RLC retransmission counter value at the MCG leg.</w:t>
      </w:r>
      <w:bookmarkEnd w:id="121"/>
    </w:p>
    <w:p w14:paraId="6911F751" w14:textId="261BB1CE" w:rsidR="150D44B3" w:rsidRDefault="150D44B3" w:rsidP="2BFCE5CC">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lang w:val="en-US"/>
        </w:rPr>
      </w:pPr>
      <w:r w:rsidRPr="2BFCE5CC">
        <w:rPr>
          <w:rStyle w:val="IvDbodytextChar"/>
          <w:rFonts w:eastAsia="Arial" w:cs="Arial"/>
        </w:rPr>
        <w:t>In addition, it has been agreed in RAN3 to include the time elapsed between reception of the CPAC configuration until the execution of the CPAC in the SPR. This measurement is adopted from the timeSinceCHOReconfig in Rel-17. We think that similarly to the Rel-17 (i.e., the same measurement is included in the RLF report) including such information in the SCGFailureInformation would be valuable for the optimization of the CPAC configuration at the time of PSCell failure.</w:t>
      </w:r>
    </w:p>
    <w:p w14:paraId="3586ADA2" w14:textId="3792C902" w:rsidR="5D3F2F88" w:rsidRDefault="5D3F2F88" w:rsidP="5D3F2F88">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lang w:val="en-US"/>
        </w:rPr>
      </w:pPr>
    </w:p>
    <w:p w14:paraId="5661AA5A" w14:textId="32E10B9C" w:rsidR="150D44B3" w:rsidRDefault="150D44B3" w:rsidP="5D3F2F88">
      <w:pPr>
        <w:pStyle w:val="Proposal"/>
        <w:tabs>
          <w:tab w:val="num" w:pos="1304"/>
        </w:tabs>
        <w:rPr>
          <w:rFonts w:eastAsia="Arial" w:cs="Arial"/>
          <w:color w:val="000000" w:themeColor="text1"/>
          <w:lang w:val="en-US"/>
        </w:rPr>
      </w:pPr>
      <w:bookmarkStart w:id="122" w:name="_Toc134720898"/>
      <w:r w:rsidRPr="5D3F2F88">
        <w:rPr>
          <w:rFonts w:eastAsia="Arial" w:cs="Arial"/>
          <w:color w:val="000000" w:themeColor="text1"/>
        </w:rPr>
        <w:t>UE includes time elapsed between reception of the CPC configuration and the PSCell failure in the SCGFailureInformation</w:t>
      </w:r>
      <w:bookmarkEnd w:id="122"/>
    </w:p>
    <w:p w14:paraId="2E29DD2D" w14:textId="1A39F7BA" w:rsidR="150D44B3" w:rsidRDefault="150D44B3" w:rsidP="2BFCE5CC">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lang w:val="en-US"/>
        </w:rPr>
      </w:pPr>
      <w:r w:rsidRPr="2BFCE5CC">
        <w:rPr>
          <w:rStyle w:val="IvDbodytextChar"/>
          <w:rFonts w:eastAsia="Arial" w:cs="Arial"/>
        </w:rPr>
        <w:t xml:space="preserve">In addition, in Rel-17 SON enhancements to the SCGFailureInformation it has been agreed to include </w:t>
      </w:r>
      <w:r w:rsidRPr="2BFCE5CC">
        <w:rPr>
          <w:rStyle w:val="IvDbodytextChar"/>
          <w:rFonts w:eastAsia="Arial" w:cs="Arial"/>
          <w:i/>
          <w:iCs/>
        </w:rPr>
        <w:t xml:space="preserve">perRAInfoList </w:t>
      </w:r>
      <w:r w:rsidRPr="2BFCE5CC">
        <w:rPr>
          <w:rStyle w:val="IvDbodytextChar"/>
          <w:rFonts w:eastAsia="Arial" w:cs="Arial"/>
        </w:rPr>
        <w:t>when the SCG failure is due to reconfiguration with sync failure or random access problem failure. However, while operating in shared spectrum and failure in RACH execution the SCG failure type can be set to LBT failure. In such cases, including the RA information in the SCGFailureInformation message is needed. Hence, we propose the following.</w:t>
      </w:r>
      <w:r>
        <w:br/>
      </w:r>
    </w:p>
    <w:p w14:paraId="67450E23" w14:textId="04407DA0" w:rsidR="150D44B3" w:rsidRDefault="150D44B3" w:rsidP="5D3F2F88">
      <w:pPr>
        <w:pStyle w:val="Proposal"/>
        <w:tabs>
          <w:tab w:val="num" w:pos="1304"/>
        </w:tabs>
        <w:jc w:val="left"/>
        <w:rPr>
          <w:rFonts w:eastAsia="Arial" w:cs="Arial"/>
          <w:color w:val="000000" w:themeColor="text1"/>
          <w:lang w:val="en-US"/>
        </w:rPr>
      </w:pPr>
      <w:bookmarkStart w:id="123" w:name="_Toc134720899"/>
      <w:r w:rsidRPr="5D3F2F88">
        <w:rPr>
          <w:rFonts w:eastAsia="Arial" w:cs="Arial"/>
          <w:color w:val="000000" w:themeColor="text1"/>
        </w:rPr>
        <w:t xml:space="preserve">UE includes the </w:t>
      </w:r>
      <w:r w:rsidRPr="5D3F2F88">
        <w:rPr>
          <w:rFonts w:eastAsia="Arial" w:cs="Arial"/>
          <w:i/>
          <w:iCs/>
          <w:color w:val="000000" w:themeColor="text1"/>
        </w:rPr>
        <w:t xml:space="preserve">perRAInfoList </w:t>
      </w:r>
      <w:r w:rsidRPr="5D3F2F88">
        <w:rPr>
          <w:rFonts w:eastAsia="Arial" w:cs="Arial"/>
          <w:color w:val="000000" w:themeColor="text1"/>
        </w:rPr>
        <w:t xml:space="preserve">in the SCGFailureInformation when the UE fails at SCG due to LBT failure (i.e., failureType is set to </w:t>
      </w:r>
      <w:r w:rsidRPr="5D3F2F88">
        <w:rPr>
          <w:rFonts w:eastAsia="Arial" w:cs="Arial"/>
          <w:i/>
          <w:iCs/>
          <w:color w:val="000000" w:themeColor="text1"/>
        </w:rPr>
        <w:t>scg-lbtFailure</w:t>
      </w:r>
      <w:r w:rsidRPr="5D3F2F88">
        <w:rPr>
          <w:rFonts w:eastAsia="Arial" w:cs="Arial"/>
          <w:color w:val="000000" w:themeColor="text1"/>
        </w:rPr>
        <w:t>).</w:t>
      </w:r>
      <w:bookmarkEnd w:id="123"/>
    </w:p>
    <w:p w14:paraId="1B8DFCF6" w14:textId="45DE7262" w:rsidR="5D3F2F88" w:rsidRDefault="5D3F2F88" w:rsidP="5D3F2F88">
      <w:pPr>
        <w:tabs>
          <w:tab w:val="left" w:pos="1701"/>
          <w:tab w:val="num" w:pos="1304"/>
        </w:tabs>
        <w:spacing w:after="120"/>
        <w:ind w:left="1304" w:hanging="1304"/>
        <w:rPr>
          <w:rFonts w:ascii="Arial" w:eastAsia="Arial" w:hAnsi="Arial" w:cs="Arial"/>
          <w:b/>
          <w:bCs/>
          <w:color w:val="000000" w:themeColor="text1"/>
          <w:lang w:val="en-US"/>
        </w:rPr>
      </w:pPr>
    </w:p>
    <w:p w14:paraId="6620842B" w14:textId="406E4974" w:rsidR="150D44B3" w:rsidRPr="00CA183F" w:rsidRDefault="150D44B3" w:rsidP="00CA183F">
      <w:pPr>
        <w:contextualSpacing/>
        <w:rPr>
          <w:rFonts w:ascii="Arial" w:eastAsia="Arial" w:hAnsi="Arial" w:cs="Arial"/>
          <w:color w:val="000000" w:themeColor="text1"/>
          <w:sz w:val="28"/>
          <w:szCs w:val="28"/>
          <w:lang w:val="en-US"/>
        </w:rPr>
      </w:pPr>
      <w:r w:rsidRPr="00CA183F">
        <w:rPr>
          <w:rFonts w:ascii="Arial" w:eastAsia="Arial" w:hAnsi="Arial" w:cs="Arial"/>
          <w:b/>
          <w:bCs/>
          <w:color w:val="000000" w:themeColor="text1"/>
          <w:sz w:val="28"/>
          <w:szCs w:val="28"/>
        </w:rPr>
        <w:t>MRO enhancements for fast MCG recovery</w:t>
      </w:r>
    </w:p>
    <w:p w14:paraId="76578F2E" w14:textId="52D976CE" w:rsidR="150D44B3" w:rsidRDefault="150D44B3" w:rsidP="2BFCE5CC">
      <w:pPr>
        <w:keepLines/>
        <w:tabs>
          <w:tab w:val="left" w:pos="2552"/>
          <w:tab w:val="left" w:pos="3856"/>
          <w:tab w:val="left" w:pos="5216"/>
          <w:tab w:val="left" w:pos="6464"/>
          <w:tab w:val="left" w:pos="7768"/>
          <w:tab w:val="left" w:pos="9072"/>
          <w:tab w:val="left" w:pos="9639"/>
        </w:tabs>
        <w:spacing w:before="240" w:after="0"/>
        <w:jc w:val="both"/>
        <w:rPr>
          <w:rFonts w:ascii="Arial" w:eastAsia="Arial" w:hAnsi="Arial" w:cs="Arial"/>
          <w:i/>
          <w:iCs/>
          <w:color w:val="7F7F7F" w:themeColor="text1" w:themeTint="80"/>
          <w:lang w:val="en-US"/>
        </w:rPr>
      </w:pPr>
      <w:r w:rsidRPr="2BFCE5CC">
        <w:rPr>
          <w:rStyle w:val="IvDbodytextChar"/>
          <w:rFonts w:eastAsia="Arial" w:cs="Arial"/>
        </w:rPr>
        <w:t xml:space="preserve">In this section we discuss two different scenarios: 1) when the UE fails in performing the fast MCG recovery and hence RLF report should be used for data collection, and 2) when the fast MCG recovery procedure is successful. </w:t>
      </w:r>
    </w:p>
    <w:p w14:paraId="2E861188" w14:textId="64725751" w:rsidR="150D44B3" w:rsidRDefault="150D44B3" w:rsidP="748012C2">
      <w:pPr>
        <w:pStyle w:val="ListParagraph"/>
        <w:keepLines/>
        <w:numPr>
          <w:ilvl w:val="0"/>
          <w:numId w:val="18"/>
        </w:numPr>
        <w:tabs>
          <w:tab w:val="left" w:pos="2552"/>
          <w:tab w:val="left" w:pos="3856"/>
          <w:tab w:val="left" w:pos="5216"/>
          <w:tab w:val="left" w:pos="6464"/>
          <w:tab w:val="left" w:pos="7768"/>
          <w:tab w:val="left" w:pos="9072"/>
          <w:tab w:val="left" w:pos="9639"/>
        </w:tabs>
        <w:spacing w:before="240"/>
        <w:rPr>
          <w:rFonts w:ascii="Arial" w:eastAsia="Arial" w:hAnsi="Arial" w:cs="Arial"/>
          <w:i/>
          <w:iCs/>
          <w:color w:val="7F7F7F" w:themeColor="text1" w:themeTint="80"/>
          <w:sz w:val="20"/>
          <w:szCs w:val="20"/>
          <w:lang w:val="en-US"/>
        </w:rPr>
      </w:pPr>
      <w:r w:rsidRPr="748012C2">
        <w:rPr>
          <w:rStyle w:val="IvDbodytextChar"/>
          <w:rFonts w:eastAsia="Arial" w:cs="Arial"/>
          <w:b/>
          <w:bCs/>
          <w:sz w:val="20"/>
          <w:szCs w:val="20"/>
          <w:u w:val="single"/>
        </w:rPr>
        <w:t>Fast MCG recovery failure</w:t>
      </w:r>
    </w:p>
    <w:p w14:paraId="7FB5A651" w14:textId="7F951C3E" w:rsidR="150D44B3" w:rsidRDefault="150D44B3" w:rsidP="5D3F2F88">
      <w:pPr>
        <w:pStyle w:val="IvDInstructiontext"/>
        <w:rPr>
          <w:rFonts w:eastAsia="Arial" w:cs="Arial"/>
          <w:color w:val="000000" w:themeColor="text1"/>
        </w:rPr>
      </w:pPr>
      <w:r w:rsidRPr="5D3F2F88">
        <w:rPr>
          <w:rFonts w:eastAsia="Arial" w:cs="Arial"/>
          <w:b/>
          <w:bCs/>
          <w:i w:val="0"/>
          <w:iCs w:val="0"/>
          <w:color w:val="000000" w:themeColor="text1"/>
          <w:u w:val="single"/>
        </w:rPr>
        <w:t>SCG failure status in RLF report</w:t>
      </w:r>
    </w:p>
    <w:p w14:paraId="25AE1202" w14:textId="3A426AC6" w:rsidR="150D44B3" w:rsidRDefault="150D44B3" w:rsidP="748012C2">
      <w:pPr>
        <w:keepLines/>
        <w:tabs>
          <w:tab w:val="left" w:pos="2552"/>
          <w:tab w:val="left" w:pos="3856"/>
          <w:tab w:val="left" w:pos="5216"/>
          <w:tab w:val="left" w:pos="6464"/>
          <w:tab w:val="left" w:pos="7768"/>
          <w:tab w:val="left" w:pos="9072"/>
          <w:tab w:val="left" w:pos="9639"/>
        </w:tabs>
        <w:spacing w:before="240" w:after="0"/>
        <w:jc w:val="both"/>
        <w:rPr>
          <w:rFonts w:ascii="Arial" w:eastAsia="Arial" w:hAnsi="Arial" w:cs="Arial"/>
          <w:i/>
          <w:iCs/>
          <w:color w:val="7F7F7F" w:themeColor="text1" w:themeTint="80"/>
          <w:lang w:val="en-US"/>
        </w:rPr>
      </w:pPr>
      <w:r w:rsidRPr="748012C2">
        <w:rPr>
          <w:rStyle w:val="IvDbodytextChar"/>
          <w:rFonts w:eastAsia="Arial" w:cs="Arial"/>
          <w:lang w:val="en-GB"/>
        </w:rPr>
        <w:lastRenderedPageBreak/>
        <w:t>In general, the</w:t>
      </w:r>
      <w:r w:rsidRPr="748012C2">
        <w:rPr>
          <w:rStyle w:val="IvDbodytextChar"/>
          <w:rFonts w:eastAsia="Arial" w:cs="Arial"/>
        </w:rPr>
        <w:t xml:space="preserve"> fast MCG recovery fails due to the T316 expiry or inability to recover from the SCG leg due to either SCG deactivation or suspension. In our opinion, when a UE fails fast MCG recovery due to the SCG issue, UE shall store both </w:t>
      </w:r>
      <w:r w:rsidRPr="748012C2">
        <w:rPr>
          <w:rStyle w:val="IvDbodytextChar"/>
          <w:rFonts w:eastAsia="Arial" w:cs="Arial"/>
          <w:u w:val="single"/>
        </w:rPr>
        <w:t>SCG and MCG</w:t>
      </w:r>
      <w:r w:rsidRPr="748012C2">
        <w:rPr>
          <w:rStyle w:val="IvDbodytextChar"/>
          <w:rFonts w:eastAsia="Arial" w:cs="Arial"/>
        </w:rPr>
        <w:t xml:space="preserve"> related information at the time of RLF and report such information to the network via RLF report. Such information includes the SCG status and measurements. Such information can be used by the network node to optimize its DC configuration in such a way enabling the UE to use the MCG link recovery procedure via SCG. In the light of the above, in the RAN3#118 meeting the following was agreed:</w:t>
      </w:r>
    </w:p>
    <w:p w14:paraId="380D1560" w14:textId="11EACB07" w:rsidR="5D3F2F88" w:rsidRDefault="150D44B3" w:rsidP="2BFCE5CC">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lang w:val="en-US"/>
        </w:rPr>
      </w:pPr>
      <w:r>
        <w:rPr>
          <w:noProof/>
        </w:rPr>
        <w:drawing>
          <wp:inline distT="0" distB="0" distL="0" distR="0" wp14:anchorId="1705D885" wp14:editId="465AB731">
            <wp:extent cx="4572000" cy="466725"/>
            <wp:effectExtent l="0" t="0" r="0" b="0"/>
            <wp:docPr id="1425973435" name="Picture 1425973435" descr="Tex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973435"/>
                    <pic:cNvPicPr/>
                  </pic:nvPicPr>
                  <pic:blipFill>
                    <a:blip r:embed="rId9">
                      <a:extLst>
                        <a:ext uri="{28A0092B-C50C-407E-A947-70E740481C1C}">
                          <a14:useLocalDpi xmlns:a14="http://schemas.microsoft.com/office/drawing/2010/main" val="0"/>
                        </a:ext>
                      </a:extLst>
                    </a:blip>
                    <a:stretch>
                      <a:fillRect/>
                    </a:stretch>
                  </pic:blipFill>
                  <pic:spPr>
                    <a:xfrm>
                      <a:off x="0" y="0"/>
                      <a:ext cx="4572000" cy="466725"/>
                    </a:xfrm>
                    <a:prstGeom prst="rect">
                      <a:avLst/>
                    </a:prstGeom>
                  </pic:spPr>
                </pic:pic>
              </a:graphicData>
            </a:graphic>
          </wp:inline>
        </w:drawing>
      </w:r>
    </w:p>
    <w:p w14:paraId="3C03D2AF" w14:textId="4B05D01C" w:rsidR="150D44B3" w:rsidRDefault="150D44B3" w:rsidP="748012C2">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lang w:val="en-US"/>
        </w:rPr>
      </w:pPr>
      <w:r w:rsidRPr="748012C2">
        <w:rPr>
          <w:rStyle w:val="IvDbodytextChar"/>
          <w:rFonts w:eastAsia="Arial" w:cs="Arial"/>
        </w:rPr>
        <w:t xml:space="preserve">In the RAN3#119 </w:t>
      </w:r>
      <w:r w:rsidR="4FAFB837" w:rsidRPr="67B017A3">
        <w:rPr>
          <w:rStyle w:val="IvDbodytextChar"/>
          <w:rFonts w:eastAsia="Arial" w:cs="Arial"/>
        </w:rPr>
        <w:t xml:space="preserve">[1] </w:t>
      </w:r>
      <w:r w:rsidRPr="748012C2">
        <w:rPr>
          <w:rStyle w:val="IvDbodytextChar"/>
          <w:rFonts w:eastAsia="Arial" w:cs="Arial"/>
        </w:rPr>
        <w:t>additional items were agreed to be reported by a UE:</w:t>
      </w:r>
    </w:p>
    <w:p w14:paraId="33012486" w14:textId="3BF198C4" w:rsidR="150D44B3" w:rsidRDefault="150D44B3" w:rsidP="748012C2">
      <w:pPr>
        <w:pStyle w:val="ListParagraph"/>
        <w:numPr>
          <w:ilvl w:val="0"/>
          <w:numId w:val="17"/>
        </w:numPr>
        <w:rPr>
          <w:rFonts w:cs="Calibri"/>
          <w:color w:val="000000" w:themeColor="text1"/>
          <w:sz w:val="20"/>
          <w:szCs w:val="20"/>
          <w:lang w:val="en-US"/>
        </w:rPr>
      </w:pPr>
      <w:r w:rsidRPr="748012C2">
        <w:rPr>
          <w:rFonts w:cs="Calibri"/>
          <w:sz w:val="20"/>
          <w:szCs w:val="20"/>
          <w:lang w:val="en-US"/>
        </w:rPr>
        <w:t>PSCell where SCG failure happened, and</w:t>
      </w:r>
    </w:p>
    <w:p w14:paraId="3C580F97" w14:textId="5B8B4613" w:rsidR="150D44B3" w:rsidRDefault="150D44B3" w:rsidP="748012C2">
      <w:pPr>
        <w:pStyle w:val="ListParagraph"/>
        <w:numPr>
          <w:ilvl w:val="0"/>
          <w:numId w:val="17"/>
        </w:numPr>
        <w:rPr>
          <w:rFonts w:cs="Calibri"/>
          <w:color w:val="000000" w:themeColor="text1"/>
          <w:sz w:val="20"/>
          <w:szCs w:val="20"/>
          <w:lang w:val="en-US"/>
        </w:rPr>
      </w:pPr>
      <w:r w:rsidRPr="748012C2">
        <w:rPr>
          <w:rFonts w:cs="Calibri"/>
          <w:sz w:val="20"/>
          <w:szCs w:val="20"/>
          <w:lang w:val="en-US"/>
        </w:rPr>
        <w:t>the cause of the fast MCG recovery failure containing at least:</w:t>
      </w:r>
    </w:p>
    <w:p w14:paraId="36C3D21C" w14:textId="0DA46E0A" w:rsidR="150D44B3" w:rsidRDefault="150D44B3" w:rsidP="748012C2">
      <w:pPr>
        <w:pStyle w:val="ListParagraph"/>
        <w:numPr>
          <w:ilvl w:val="1"/>
          <w:numId w:val="17"/>
        </w:numPr>
        <w:rPr>
          <w:rFonts w:cs="Calibri"/>
          <w:color w:val="000000" w:themeColor="text1"/>
          <w:sz w:val="20"/>
          <w:szCs w:val="20"/>
          <w:lang w:val="en-US"/>
        </w:rPr>
      </w:pPr>
      <w:r w:rsidRPr="748012C2">
        <w:rPr>
          <w:rFonts w:cs="Calibri"/>
          <w:sz w:val="20"/>
          <w:szCs w:val="20"/>
          <w:lang w:val="en-US"/>
        </w:rPr>
        <w:t xml:space="preserve">T316 expiry, </w:t>
      </w:r>
    </w:p>
    <w:p w14:paraId="363FA328" w14:textId="331752C2" w:rsidR="150D44B3" w:rsidRDefault="150D44B3" w:rsidP="748012C2">
      <w:pPr>
        <w:pStyle w:val="ListParagraph"/>
        <w:numPr>
          <w:ilvl w:val="1"/>
          <w:numId w:val="17"/>
        </w:numPr>
        <w:rPr>
          <w:rFonts w:cs="Calibri"/>
          <w:color w:val="000000" w:themeColor="text1"/>
          <w:sz w:val="20"/>
          <w:szCs w:val="20"/>
          <w:lang w:val="en-US"/>
        </w:rPr>
      </w:pPr>
      <w:r w:rsidRPr="748012C2">
        <w:rPr>
          <w:rFonts w:cs="Calibri"/>
          <w:sz w:val="20"/>
          <w:szCs w:val="20"/>
          <w:lang w:val="en-US"/>
        </w:rPr>
        <w:t>SCG failure, and</w:t>
      </w:r>
    </w:p>
    <w:p w14:paraId="6983837C" w14:textId="669E5A80" w:rsidR="150D44B3" w:rsidRDefault="150D44B3" w:rsidP="748012C2">
      <w:pPr>
        <w:pStyle w:val="ListParagraph"/>
        <w:numPr>
          <w:ilvl w:val="1"/>
          <w:numId w:val="17"/>
        </w:numPr>
        <w:rPr>
          <w:rFonts w:cs="Calibri"/>
          <w:color w:val="000000" w:themeColor="text1"/>
          <w:sz w:val="20"/>
          <w:szCs w:val="20"/>
          <w:lang w:val="en-US"/>
        </w:rPr>
      </w:pPr>
      <w:r w:rsidRPr="748012C2">
        <w:rPr>
          <w:rFonts w:cs="Calibri"/>
          <w:sz w:val="20"/>
          <w:szCs w:val="20"/>
          <w:lang w:val="en-US"/>
        </w:rPr>
        <w:t>SCG was deactivated or other cases where SCG is not available</w:t>
      </w:r>
    </w:p>
    <w:p w14:paraId="0FF7678F" w14:textId="35708CF1" w:rsidR="3222843A" w:rsidRDefault="3222843A" w:rsidP="67B017A3">
      <w:pPr>
        <w:pStyle w:val="ListParagraph"/>
        <w:numPr>
          <w:ilvl w:val="0"/>
          <w:numId w:val="17"/>
        </w:numPr>
        <w:spacing w:line="259" w:lineRule="auto"/>
        <w:rPr>
          <w:rFonts w:cs="Calibri"/>
          <w:color w:val="000000" w:themeColor="text1"/>
          <w:sz w:val="20"/>
          <w:szCs w:val="20"/>
          <w:lang w:val="en-US"/>
        </w:rPr>
      </w:pPr>
      <w:r w:rsidRPr="67B017A3">
        <w:rPr>
          <w:rFonts w:cs="Calibri"/>
          <w:sz w:val="20"/>
          <w:szCs w:val="20"/>
          <w:lang w:val="en-US"/>
        </w:rPr>
        <w:t xml:space="preserve">SCG failure type (at least </w:t>
      </w:r>
      <w:r w:rsidRPr="67B017A3">
        <w:rPr>
          <w:rFonts w:cs="Calibri"/>
          <w:sz w:val="20"/>
          <w:szCs w:val="20"/>
          <w:highlight w:val="yellow"/>
          <w:lang w:val="en-US"/>
        </w:rPr>
        <w:t>t310-Expiry, randomAccessProblem, rlc-MaxNumRetx</w:t>
      </w:r>
      <w:r w:rsidRPr="67B017A3">
        <w:rPr>
          <w:rFonts w:cs="Calibri"/>
          <w:sz w:val="20"/>
          <w:szCs w:val="20"/>
          <w:lang w:val="en-US"/>
        </w:rPr>
        <w:t>) if the cause of the fast MCG recovery is SCG failure</w:t>
      </w:r>
      <w:r w:rsidR="336366BE" w:rsidRPr="67B017A3">
        <w:rPr>
          <w:rFonts w:cs="Calibri"/>
          <w:sz w:val="20"/>
          <w:szCs w:val="20"/>
          <w:lang w:val="en-US"/>
        </w:rPr>
        <w:t>.</w:t>
      </w:r>
      <w:r w:rsidRPr="67B017A3">
        <w:rPr>
          <w:rFonts w:cs="Calibri"/>
          <w:sz w:val="20"/>
          <w:szCs w:val="20"/>
          <w:lang w:val="en-US"/>
        </w:rPr>
        <w:t xml:space="preserve">  </w:t>
      </w:r>
    </w:p>
    <w:p w14:paraId="7BD1B336" w14:textId="372C3547" w:rsidR="150D44B3" w:rsidRDefault="150D44B3" w:rsidP="748012C2">
      <w:pPr>
        <w:keepLines/>
        <w:tabs>
          <w:tab w:val="left" w:pos="2552"/>
          <w:tab w:val="left" w:pos="3856"/>
          <w:tab w:val="left" w:pos="5216"/>
          <w:tab w:val="left" w:pos="6464"/>
          <w:tab w:val="left" w:pos="7768"/>
          <w:tab w:val="left" w:pos="9072"/>
          <w:tab w:val="left" w:pos="9639"/>
        </w:tabs>
        <w:spacing w:before="240" w:after="0"/>
        <w:jc w:val="both"/>
        <w:rPr>
          <w:rFonts w:ascii="Arial" w:eastAsia="Arial" w:hAnsi="Arial" w:cs="Arial"/>
          <w:i/>
          <w:iCs/>
          <w:color w:val="7F7F7F" w:themeColor="text1" w:themeTint="80"/>
          <w:lang w:val="en-US"/>
        </w:rPr>
      </w:pPr>
      <w:r w:rsidRPr="748012C2">
        <w:rPr>
          <w:rStyle w:val="IvDbodytextChar"/>
          <w:rFonts w:eastAsia="Arial" w:cs="Arial"/>
        </w:rPr>
        <w:t>In addition to the highlighted SCG Failure types agreed by RAN3, there are other SCG Failure types that are required to be logged by the UE upon SCG Failure as part of RLF report. A list of the SCG failure types based on the RRC procedural text is shown in the following excerpt.</w:t>
      </w:r>
    </w:p>
    <w:p w14:paraId="522701BE" w14:textId="38DC6024" w:rsidR="150D44B3" w:rsidRDefault="150D44B3" w:rsidP="748012C2">
      <w:pPr>
        <w:keepLines/>
        <w:tabs>
          <w:tab w:val="left" w:pos="2552"/>
          <w:tab w:val="left" w:pos="3856"/>
          <w:tab w:val="left" w:pos="5216"/>
          <w:tab w:val="left" w:pos="6464"/>
          <w:tab w:val="left" w:pos="7768"/>
          <w:tab w:val="left" w:pos="9072"/>
          <w:tab w:val="left" w:pos="9639"/>
        </w:tabs>
        <w:spacing w:before="240" w:after="0"/>
        <w:jc w:val="both"/>
        <w:rPr>
          <w:rStyle w:val="IvDbodytextChar"/>
          <w:rFonts w:eastAsia="Arial" w:cs="Arial"/>
          <w:color w:val="7F7F7F" w:themeColor="text1" w:themeTint="80"/>
        </w:rPr>
      </w:pPr>
      <w:r w:rsidRPr="748012C2">
        <w:rPr>
          <w:rStyle w:val="IvDbodytextChar"/>
          <w:rFonts w:eastAsia="Arial" w:cs="Arial"/>
          <w:color w:val="7F7F7F" w:themeColor="text1" w:themeTint="80"/>
        </w:rPr>
        <w:t xml:space="preserve"> </w:t>
      </w:r>
      <w:r>
        <w:rPr>
          <w:noProof/>
        </w:rPr>
        <w:drawing>
          <wp:inline distT="0" distB="0" distL="0" distR="0" wp14:anchorId="4F1CECC8" wp14:editId="2B3ADD1F">
            <wp:extent cx="4572000" cy="4210050"/>
            <wp:effectExtent l="0" t="0" r="0" b="0"/>
            <wp:docPr id="1184563702" name="Picture 1184563702" descr="Tex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563702"/>
                    <pic:cNvPicPr/>
                  </pic:nvPicPr>
                  <pic:blipFill>
                    <a:blip r:embed="rId10">
                      <a:extLst>
                        <a:ext uri="{28A0092B-C50C-407E-A947-70E740481C1C}">
                          <a14:useLocalDpi xmlns:a14="http://schemas.microsoft.com/office/drawing/2010/main" val="0"/>
                        </a:ext>
                      </a:extLst>
                    </a:blip>
                    <a:stretch>
                      <a:fillRect/>
                    </a:stretch>
                  </pic:blipFill>
                  <pic:spPr>
                    <a:xfrm>
                      <a:off x="0" y="0"/>
                      <a:ext cx="4572000" cy="4210050"/>
                    </a:xfrm>
                    <a:prstGeom prst="rect">
                      <a:avLst/>
                    </a:prstGeom>
                  </pic:spPr>
                </pic:pic>
              </a:graphicData>
            </a:graphic>
          </wp:inline>
        </w:drawing>
      </w:r>
    </w:p>
    <w:p w14:paraId="0B39FD16" w14:textId="1FD797AF" w:rsidR="150D44B3" w:rsidRDefault="523DD526" w:rsidP="748012C2">
      <w:pPr>
        <w:keepLines/>
        <w:tabs>
          <w:tab w:val="left" w:pos="2552"/>
          <w:tab w:val="left" w:pos="3856"/>
          <w:tab w:val="left" w:pos="5216"/>
          <w:tab w:val="left" w:pos="6464"/>
          <w:tab w:val="left" w:pos="7768"/>
          <w:tab w:val="left" w:pos="9072"/>
          <w:tab w:val="left" w:pos="9639"/>
        </w:tabs>
        <w:spacing w:before="240" w:after="0"/>
        <w:jc w:val="both"/>
        <w:rPr>
          <w:rFonts w:ascii="Arial" w:eastAsia="Arial" w:hAnsi="Arial" w:cs="Arial"/>
          <w:i/>
          <w:iCs/>
          <w:color w:val="7F7F7F" w:themeColor="text1" w:themeTint="80"/>
          <w:lang w:val="en-US"/>
        </w:rPr>
      </w:pPr>
      <w:r w:rsidRPr="748012C2">
        <w:rPr>
          <w:rStyle w:val="IvDbodytextChar"/>
          <w:rFonts w:eastAsia="Arial" w:cs="Arial"/>
        </w:rPr>
        <w:t xml:space="preserve">All these failure types, highlighted here, are included in SCGFailureInformation message and could not be sent by a UE to the network in the case of MCG failure simultaneous with the SCG failure. </w:t>
      </w:r>
      <w:r w:rsidR="150D44B3" w:rsidRPr="748012C2">
        <w:rPr>
          <w:rStyle w:val="IvDbodytextChar"/>
          <w:rFonts w:eastAsia="Arial" w:cs="Arial"/>
        </w:rPr>
        <w:t>However, this information is of use to the network for failure analysis and DC operation optimization. Therefore, we propose the following:</w:t>
      </w:r>
      <w:r w:rsidR="150D44B3">
        <w:br/>
      </w:r>
    </w:p>
    <w:p w14:paraId="47E78765" w14:textId="27C50D8E" w:rsidR="150D44B3" w:rsidRDefault="150D44B3" w:rsidP="5D3F2F88">
      <w:pPr>
        <w:pStyle w:val="Proposal"/>
        <w:tabs>
          <w:tab w:val="num" w:pos="1304"/>
        </w:tabs>
        <w:jc w:val="left"/>
        <w:rPr>
          <w:rFonts w:eastAsia="Arial" w:cs="Arial"/>
          <w:color w:val="000000" w:themeColor="text1"/>
          <w:lang w:val="en-US"/>
        </w:rPr>
      </w:pPr>
      <w:bookmarkStart w:id="124" w:name="_Toc134720900"/>
      <w:r w:rsidRPr="5D3F2F88">
        <w:rPr>
          <w:rFonts w:eastAsia="Arial" w:cs="Arial"/>
          <w:color w:val="000000" w:themeColor="text1"/>
        </w:rPr>
        <w:t>Upon MCG recovery failure due to SCG failure UE is enabled to log any possible SCG failure type as MCG recovery failure cause in the RLF report.</w:t>
      </w:r>
      <w:bookmarkEnd w:id="124"/>
      <w:r w:rsidRPr="5D3F2F88">
        <w:rPr>
          <w:rFonts w:eastAsia="Arial" w:cs="Arial"/>
          <w:color w:val="000000" w:themeColor="text1"/>
        </w:rPr>
        <w:t xml:space="preserve"> </w:t>
      </w:r>
    </w:p>
    <w:p w14:paraId="79DE88E4" w14:textId="58E9F1C5" w:rsidR="5D3F2F88" w:rsidRDefault="5D3F2F88" w:rsidP="5D3F2F88">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sz w:val="18"/>
          <w:szCs w:val="18"/>
          <w:lang w:val="en-US"/>
        </w:rPr>
      </w:pPr>
    </w:p>
    <w:p w14:paraId="73B4FFD8" w14:textId="02CE79A6" w:rsidR="150D44B3" w:rsidRDefault="150D44B3" w:rsidP="5D3F2F88">
      <w:pPr>
        <w:pStyle w:val="BodyText"/>
        <w:rPr>
          <w:rFonts w:eastAsia="Arial" w:cs="Arial"/>
          <w:color w:val="000000" w:themeColor="text1"/>
          <w:lang w:val="en-US"/>
        </w:rPr>
      </w:pPr>
      <w:r w:rsidRPr="5D3F2F88">
        <w:rPr>
          <w:rFonts w:eastAsia="Arial" w:cs="Arial"/>
          <w:color w:val="000000" w:themeColor="text1"/>
          <w:lang w:val="en-US"/>
        </w:rPr>
        <w:t>Moreover, if the UE fails at the MCG recovery procedure due to the random access problem or beam failure recovery failure at the SCG, the RA related information that is performed toward SCG will be missing. Adding such information to the RLF report is valuable for the analysis of the SCG failure at the time of MCG recovery procedure, so the network could avoid such failures in the future.</w:t>
      </w:r>
    </w:p>
    <w:p w14:paraId="710130C0" w14:textId="179415B7" w:rsidR="5D3F2F88" w:rsidRDefault="5D3F2F88" w:rsidP="5D3F2F88">
      <w:pPr>
        <w:spacing w:after="120"/>
        <w:jc w:val="both"/>
        <w:rPr>
          <w:rFonts w:ascii="Arial" w:eastAsia="Arial" w:hAnsi="Arial" w:cs="Arial"/>
          <w:color w:val="000000" w:themeColor="text1"/>
          <w:lang w:val="en-US"/>
        </w:rPr>
      </w:pPr>
    </w:p>
    <w:p w14:paraId="18858C95" w14:textId="36FC183C" w:rsidR="150D44B3" w:rsidRDefault="150D44B3" w:rsidP="5D3F2F88">
      <w:pPr>
        <w:pStyle w:val="Proposal"/>
        <w:tabs>
          <w:tab w:val="num" w:pos="1304"/>
        </w:tabs>
        <w:jc w:val="left"/>
        <w:rPr>
          <w:rFonts w:eastAsia="Arial" w:cs="Arial"/>
          <w:color w:val="000000" w:themeColor="text1"/>
          <w:lang w:val="en-US"/>
        </w:rPr>
      </w:pPr>
      <w:bookmarkStart w:id="125" w:name="_Toc134720901"/>
      <w:r w:rsidRPr="5D3F2F88">
        <w:rPr>
          <w:rFonts w:eastAsia="Arial" w:cs="Arial"/>
          <w:color w:val="000000" w:themeColor="text1"/>
        </w:rPr>
        <w:t>UE includes the RA replated information performed toward the SCG (perRAInfoList-SCG) at the time of fast MCG recovery failure in the RLF report.</w:t>
      </w:r>
      <w:bookmarkEnd w:id="125"/>
    </w:p>
    <w:p w14:paraId="509599C4" w14:textId="6E455D29" w:rsidR="5D3F2F88" w:rsidRDefault="5D3F2F88" w:rsidP="5D3F2F88">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sz w:val="18"/>
          <w:szCs w:val="18"/>
          <w:lang w:val="en-US"/>
        </w:rPr>
      </w:pPr>
    </w:p>
    <w:p w14:paraId="7BDEEDC8" w14:textId="1D763A0A" w:rsidR="150D44B3" w:rsidRDefault="150D44B3" w:rsidP="5D3F2F88">
      <w:pPr>
        <w:pStyle w:val="BodyText"/>
        <w:rPr>
          <w:rFonts w:eastAsia="Arial" w:cs="Arial"/>
          <w:color w:val="000000" w:themeColor="text1"/>
          <w:lang w:val="en-US"/>
        </w:rPr>
      </w:pPr>
      <w:r w:rsidRPr="5D3F2F88">
        <w:rPr>
          <w:rFonts w:eastAsia="Arial" w:cs="Arial"/>
          <w:color w:val="000000" w:themeColor="text1"/>
          <w:lang w:val="en-US"/>
        </w:rPr>
        <w:t>In addition, we think it would be beneficial to include the measurement results (measResultSCG-failure) performed based on the SCG configuration in the RLF report. These measurement results are currently available within the MCGFailureInformation and SCGFailureInformation messages, but in this case, as both legs experienced failures, there is no way for the UE to send this message to the network. Therefore, we propose upon SCG failure at the time of MCG recovery failure, UE includes the SCG related measurements results, e.g., measResultSCG-failure, in the RLF report.</w:t>
      </w:r>
    </w:p>
    <w:p w14:paraId="700F2091" w14:textId="108E5898" w:rsidR="5D3F2F88" w:rsidRDefault="5D3F2F88" w:rsidP="5D3F2F88">
      <w:pPr>
        <w:spacing w:after="120"/>
        <w:jc w:val="both"/>
        <w:rPr>
          <w:rFonts w:ascii="Arial" w:eastAsia="Arial" w:hAnsi="Arial" w:cs="Arial"/>
          <w:color w:val="000000" w:themeColor="text1"/>
          <w:lang w:val="en-US"/>
        </w:rPr>
      </w:pPr>
    </w:p>
    <w:p w14:paraId="2A960A9C" w14:textId="1A1EE0C4" w:rsidR="150D44B3" w:rsidRDefault="150D44B3" w:rsidP="5D3F2F88">
      <w:pPr>
        <w:pStyle w:val="Proposal"/>
        <w:tabs>
          <w:tab w:val="num" w:pos="1304"/>
        </w:tabs>
        <w:rPr>
          <w:rFonts w:eastAsia="Arial" w:cs="Arial"/>
          <w:color w:val="000000" w:themeColor="text1"/>
          <w:lang w:val="en-US"/>
        </w:rPr>
      </w:pPr>
      <w:bookmarkStart w:id="126" w:name="_Toc134720902"/>
      <w:r w:rsidRPr="5D3F2F88">
        <w:rPr>
          <w:rFonts w:eastAsia="Arial" w:cs="Arial"/>
          <w:color w:val="000000" w:themeColor="text1"/>
          <w:lang w:val="en-US"/>
        </w:rPr>
        <w:t>UE includes measResultSCG-Failure in the RLF report, if fast MCG recovery procedure fails due to the SCG failure.</w:t>
      </w:r>
      <w:bookmarkEnd w:id="126"/>
    </w:p>
    <w:p w14:paraId="12B83755" w14:textId="41124B43" w:rsidR="5D3F2F88" w:rsidRDefault="5D3F2F88" w:rsidP="5D3F2F88">
      <w:pPr>
        <w:spacing w:after="120"/>
        <w:jc w:val="both"/>
        <w:rPr>
          <w:rFonts w:ascii="Arial" w:eastAsia="Arial" w:hAnsi="Arial" w:cs="Arial"/>
          <w:color w:val="000000" w:themeColor="text1"/>
          <w:lang w:val="en-US"/>
        </w:rPr>
      </w:pPr>
    </w:p>
    <w:p w14:paraId="1B661B07" w14:textId="5B52DC6C" w:rsidR="150D44B3" w:rsidRDefault="150D44B3" w:rsidP="5D3F2F88">
      <w:pPr>
        <w:pStyle w:val="BodyText"/>
        <w:rPr>
          <w:rFonts w:eastAsia="Arial" w:cs="Arial"/>
          <w:color w:val="000000" w:themeColor="text1"/>
          <w:lang w:val="en-US"/>
        </w:rPr>
      </w:pPr>
      <w:r w:rsidRPr="5D3F2F88">
        <w:rPr>
          <w:rFonts w:eastAsia="Arial" w:cs="Arial"/>
          <w:color w:val="000000" w:themeColor="text1"/>
          <w:lang w:val="en-US"/>
        </w:rPr>
        <w:t>In addition, one of the features specified in Rel-17 is the RLM/BFD relaxation that enables the UE to relax the RLM/BFD procedures for the sake of UE energy saving. Network can configure the RLM/BFD relaxation based on the following configuration either based on UE mobility or based on the radio link quality of the RLM/BFD resources.</w:t>
      </w:r>
    </w:p>
    <w:p w14:paraId="3BAFE1B9" w14:textId="359C431B" w:rsidR="150D44B3" w:rsidRDefault="150D44B3" w:rsidP="5D3F2F88">
      <w:pPr>
        <w:pStyle w:val="BodyText"/>
        <w:rPr>
          <w:rFonts w:eastAsia="Arial" w:cs="Arial"/>
          <w:color w:val="000000" w:themeColor="text1"/>
          <w:lang w:val="en-US"/>
        </w:rPr>
      </w:pPr>
      <w:r w:rsidRPr="5D3F2F88">
        <w:rPr>
          <w:rFonts w:eastAsia="Arial" w:cs="Arial"/>
          <w:color w:val="000000" w:themeColor="text1"/>
          <w:lang w:val="en-US"/>
        </w:rPr>
        <w:t>Sub-optimal configuration of these parameters impacts the RLF declaration procedure. For example, if the RLM/BDF relaxation parameters are not properly optimized, the UE may experience a bad radio coverage but since it applied relaxed RLM/BFD procedure, the UE may not declare RLF early enough, which may lead to late RLF which can in turn negatively affect the UEs QoS as well as end user experience. In another example, if the BFD relaxation is applied either due to the good cell evaluation or low mobility criterion evaluation by the UE, the UE may not perform BFR procedure at the right time and this in turn may lead to a radio link failure while a BFR could recover the UE from the potential failure. In other words, a relaxed BFD procedure may avoid triggering the BFR procedure at the right time to avoid failures.</w:t>
      </w:r>
    </w:p>
    <w:p w14:paraId="625E088C" w14:textId="56A9A1DF" w:rsidR="150D44B3" w:rsidRDefault="150D44B3" w:rsidP="5D3F2F88">
      <w:pPr>
        <w:pStyle w:val="Observation"/>
        <w:rPr>
          <w:rFonts w:eastAsia="Arial" w:cs="Arial"/>
          <w:color w:val="000000" w:themeColor="text1"/>
          <w:lang w:val="en-US"/>
        </w:rPr>
      </w:pPr>
      <w:bookmarkStart w:id="127" w:name="_Toc134720860"/>
      <w:r w:rsidRPr="5D3F2F88">
        <w:rPr>
          <w:rFonts w:eastAsia="Arial" w:cs="Arial"/>
          <w:color w:val="000000" w:themeColor="text1"/>
          <w:lang w:val="en-US"/>
        </w:rPr>
        <w:t>Relaxed RLM may result in delay declaring RLF causing a poor experience by the UE.</w:t>
      </w:r>
      <w:bookmarkEnd w:id="127"/>
    </w:p>
    <w:p w14:paraId="40EA2038" w14:textId="5FC63167" w:rsidR="150D44B3" w:rsidRDefault="150D44B3" w:rsidP="5D3F2F88">
      <w:pPr>
        <w:pStyle w:val="Observation"/>
        <w:rPr>
          <w:rFonts w:eastAsia="Arial" w:cs="Arial"/>
          <w:color w:val="000000" w:themeColor="text1"/>
          <w:lang w:val="en-US"/>
        </w:rPr>
      </w:pPr>
      <w:bookmarkStart w:id="128" w:name="_Toc134720861"/>
      <w:r w:rsidRPr="5D3F2F88">
        <w:rPr>
          <w:rFonts w:eastAsia="Arial" w:cs="Arial"/>
          <w:color w:val="000000" w:themeColor="text1"/>
          <w:lang w:val="en-US"/>
        </w:rPr>
        <w:t>Relaxed BFD may avoid triggering BFR at right time, which may lead to failure while a proper BFR could recover the UE from failure.</w:t>
      </w:r>
      <w:bookmarkEnd w:id="128"/>
    </w:p>
    <w:p w14:paraId="68052F9D" w14:textId="5EF5D88A" w:rsidR="5D3F2F88" w:rsidRDefault="5D3F2F88" w:rsidP="5D3F2F88">
      <w:pPr>
        <w:spacing w:after="120"/>
        <w:jc w:val="both"/>
        <w:rPr>
          <w:rFonts w:ascii="Arial" w:eastAsia="Arial" w:hAnsi="Arial" w:cs="Arial"/>
          <w:color w:val="000000" w:themeColor="text1"/>
          <w:lang w:val="en-US"/>
        </w:rPr>
      </w:pPr>
    </w:p>
    <w:p w14:paraId="2645F697" w14:textId="26DA382B" w:rsidR="150D44B3" w:rsidRDefault="150D44B3" w:rsidP="5D3F2F88">
      <w:pPr>
        <w:pStyle w:val="Proposal"/>
        <w:tabs>
          <w:tab w:val="num" w:pos="1304"/>
        </w:tabs>
        <w:jc w:val="left"/>
        <w:rPr>
          <w:rFonts w:eastAsia="Arial" w:cs="Arial"/>
          <w:color w:val="000000" w:themeColor="text1"/>
          <w:lang w:val="en-US"/>
        </w:rPr>
      </w:pPr>
      <w:bookmarkStart w:id="129" w:name="_Toc134720903"/>
      <w:r w:rsidRPr="5D3F2F88">
        <w:rPr>
          <w:rFonts w:eastAsia="Arial" w:cs="Arial"/>
          <w:color w:val="000000" w:themeColor="text1"/>
        </w:rPr>
        <w:t>The UE logs indication of RLM/BFD relaxation in the failure report if RLM/BFD relaxation was applied at the time of MCG failure or SCG failures.</w:t>
      </w:r>
      <w:bookmarkEnd w:id="129"/>
    </w:p>
    <w:p w14:paraId="682B343C" w14:textId="1780D711" w:rsidR="5D3F2F88" w:rsidRDefault="5D3F2F88" w:rsidP="5D3F2F88">
      <w:pPr>
        <w:tabs>
          <w:tab w:val="left" w:pos="1701"/>
          <w:tab w:val="num" w:pos="1304"/>
        </w:tabs>
        <w:spacing w:after="120"/>
        <w:ind w:left="1304" w:hanging="1304"/>
        <w:rPr>
          <w:rFonts w:ascii="Arial" w:eastAsia="Arial" w:hAnsi="Arial" w:cs="Arial"/>
          <w:b/>
          <w:bCs/>
          <w:color w:val="000000" w:themeColor="text1"/>
          <w:lang w:val="en-US"/>
        </w:rPr>
      </w:pPr>
    </w:p>
    <w:p w14:paraId="438F293B" w14:textId="7E63FDC4" w:rsidR="150D44B3" w:rsidRDefault="150D44B3" w:rsidP="5D3F2F88">
      <w:pPr>
        <w:pStyle w:val="BodyText"/>
        <w:rPr>
          <w:rFonts w:eastAsia="Arial" w:cs="Arial"/>
          <w:color w:val="000000" w:themeColor="text1"/>
          <w:lang w:val="en-US"/>
        </w:rPr>
      </w:pPr>
      <w:r w:rsidRPr="5D3F2F88">
        <w:rPr>
          <w:rFonts w:eastAsia="Arial" w:cs="Arial"/>
          <w:b/>
          <w:bCs/>
          <w:color w:val="000000" w:themeColor="text1"/>
          <w:lang w:val="en-US"/>
        </w:rPr>
        <w:t>Successful fast MCG recovery</w:t>
      </w:r>
    </w:p>
    <w:p w14:paraId="7D0880CA" w14:textId="55E9C2EA" w:rsidR="150D44B3" w:rsidRDefault="150D44B3" w:rsidP="5D3F2F88">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lang w:val="en-US"/>
        </w:rPr>
      </w:pPr>
      <w:r w:rsidRPr="5D3F2F88">
        <w:rPr>
          <w:rStyle w:val="IvDbodytextChar"/>
          <w:rFonts w:eastAsia="Arial" w:cs="Arial"/>
        </w:rPr>
        <w:t xml:space="preserve">In RAN2#120 it has been agreed to use RLF report for the sake of fast MCG recovery optimization. </w:t>
      </w:r>
    </w:p>
    <w:p w14:paraId="793474C8" w14:textId="7B346C6A" w:rsidR="150D44B3" w:rsidRDefault="150D44B3" w:rsidP="5D3F2F88">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lang w:val="en-US"/>
        </w:rPr>
      </w:pPr>
      <w:r>
        <w:rPr>
          <w:noProof/>
        </w:rPr>
        <w:drawing>
          <wp:inline distT="0" distB="0" distL="0" distR="0" wp14:anchorId="434BEE8A" wp14:editId="38922D33">
            <wp:extent cx="4572000" cy="342900"/>
            <wp:effectExtent l="0" t="0" r="0" b="0"/>
            <wp:docPr id="86838864" name="Picture 86838864" descr="Tex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572000" cy="342900"/>
                    </a:xfrm>
                    <a:prstGeom prst="rect">
                      <a:avLst/>
                    </a:prstGeom>
                  </pic:spPr>
                </pic:pic>
              </a:graphicData>
            </a:graphic>
          </wp:inline>
        </w:drawing>
      </w:r>
    </w:p>
    <w:p w14:paraId="59B6355C" w14:textId="48F78F08" w:rsidR="150D44B3" w:rsidRDefault="150D44B3" w:rsidP="5D3F2F88">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lang w:val="en-US"/>
        </w:rPr>
      </w:pPr>
      <w:r w:rsidRPr="5D3F2F88">
        <w:rPr>
          <w:rStyle w:val="IvDbodytextChar"/>
          <w:rFonts w:eastAsia="Arial" w:cs="Arial"/>
        </w:rPr>
        <w:t>However, according to TS 38.331 (version 17.2.0), the RLF report is deleted upon successful MCG recovery. This is shown in the following excerpt from the specification.</w:t>
      </w:r>
    </w:p>
    <w:p w14:paraId="733AC478" w14:textId="41D6DA04" w:rsidR="150D44B3" w:rsidRDefault="150D44B3" w:rsidP="5D3F2F88">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lang w:val="en-US"/>
        </w:rPr>
      </w:pPr>
      <w:r>
        <w:rPr>
          <w:noProof/>
        </w:rPr>
        <w:lastRenderedPageBreak/>
        <w:drawing>
          <wp:inline distT="0" distB="0" distL="0" distR="0" wp14:anchorId="441A162B" wp14:editId="61451BA4">
            <wp:extent cx="4572000" cy="2428875"/>
            <wp:effectExtent l="0" t="0" r="0" b="0"/>
            <wp:docPr id="1234477598" name="Picture 1234477598" descr="Tex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477598"/>
                    <pic:cNvPicPr/>
                  </pic:nvPicPr>
                  <pic:blipFill>
                    <a:blip r:embed="rId12">
                      <a:extLst>
                        <a:ext uri="{28A0092B-C50C-407E-A947-70E740481C1C}">
                          <a14:useLocalDpi xmlns:a14="http://schemas.microsoft.com/office/drawing/2010/main" val="0"/>
                        </a:ext>
                      </a:extLst>
                    </a:blip>
                    <a:stretch>
                      <a:fillRect/>
                    </a:stretch>
                  </pic:blipFill>
                  <pic:spPr>
                    <a:xfrm>
                      <a:off x="0" y="0"/>
                      <a:ext cx="4572000" cy="2428875"/>
                    </a:xfrm>
                    <a:prstGeom prst="rect">
                      <a:avLst/>
                    </a:prstGeom>
                  </pic:spPr>
                </pic:pic>
              </a:graphicData>
            </a:graphic>
          </wp:inline>
        </w:drawing>
      </w:r>
    </w:p>
    <w:p w14:paraId="6867E14E" w14:textId="44D3E25A" w:rsidR="150D44B3" w:rsidRDefault="150D44B3" w:rsidP="5D3F2F88">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lang w:val="en-US"/>
        </w:rPr>
      </w:pPr>
      <w:r w:rsidRPr="5D3F2F88">
        <w:rPr>
          <w:rStyle w:val="IvDbodytextChar"/>
          <w:rFonts w:eastAsia="Arial" w:cs="Arial"/>
        </w:rPr>
        <w:t>In our opinion, the RLF report can be kept by the UE for a successful MCG recovery to report additional information to the network that is not provided as part of the immediately transmitted MCGFailureInformation. For example, keeping the RLF report after the successful MCG recovery enables the UE to log the time spent for a successful MCG recovery that is useful for the sake of T316 timer optimization. In addition, the CHO related information is not reported in the MCGFailureInformation. Hence, we propose the following:</w:t>
      </w:r>
    </w:p>
    <w:p w14:paraId="682B0860" w14:textId="3D60B9CD" w:rsidR="5D3F2F88" w:rsidRDefault="5D3F2F88" w:rsidP="5D3F2F88">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lang w:val="en-US"/>
        </w:rPr>
      </w:pPr>
    </w:p>
    <w:p w14:paraId="675E29B4" w14:textId="13BCF9E3" w:rsidR="150D44B3" w:rsidRDefault="150D44B3" w:rsidP="5D3F2F88">
      <w:pPr>
        <w:pStyle w:val="Proposal"/>
        <w:tabs>
          <w:tab w:val="num" w:pos="1304"/>
        </w:tabs>
        <w:jc w:val="left"/>
        <w:rPr>
          <w:rFonts w:eastAsia="Arial" w:cs="Arial"/>
          <w:color w:val="000000" w:themeColor="text1"/>
          <w:lang w:val="en-US"/>
        </w:rPr>
      </w:pPr>
      <w:bookmarkStart w:id="130" w:name="_Toc134720904"/>
      <w:r w:rsidRPr="5D3F2F88">
        <w:rPr>
          <w:rFonts w:eastAsia="Arial" w:cs="Arial"/>
          <w:color w:val="000000" w:themeColor="text1"/>
          <w:lang w:val="en-US"/>
        </w:rPr>
        <w:t>UE does not delete the RLF report upon successful MCG recovery</w:t>
      </w:r>
      <w:r w:rsidRPr="5D3F2F88">
        <w:rPr>
          <w:rFonts w:eastAsia="Arial" w:cs="Arial"/>
          <w:color w:val="000000" w:themeColor="text1"/>
        </w:rPr>
        <w:t>.</w:t>
      </w:r>
      <w:bookmarkEnd w:id="130"/>
    </w:p>
    <w:p w14:paraId="718567BC" w14:textId="59EC5E4B" w:rsidR="150D44B3" w:rsidRDefault="150D44B3" w:rsidP="5D3F2F88">
      <w:pPr>
        <w:keepLines/>
        <w:tabs>
          <w:tab w:val="left" w:pos="2552"/>
          <w:tab w:val="left" w:pos="3856"/>
          <w:tab w:val="left" w:pos="5216"/>
          <w:tab w:val="left" w:pos="6464"/>
          <w:tab w:val="left" w:pos="7768"/>
          <w:tab w:val="left" w:pos="9072"/>
          <w:tab w:val="left" w:pos="9639"/>
        </w:tabs>
        <w:jc w:val="both"/>
        <w:rPr>
          <w:rFonts w:ascii="Arial" w:eastAsia="Arial" w:hAnsi="Arial" w:cs="Arial"/>
          <w:i/>
          <w:iCs/>
          <w:color w:val="7F7F7F" w:themeColor="text1" w:themeTint="80"/>
          <w:lang w:val="en-US"/>
        </w:rPr>
      </w:pPr>
      <w:r w:rsidRPr="5D3F2F88">
        <w:rPr>
          <w:rStyle w:val="IvDbodytextChar"/>
          <w:rFonts w:eastAsia="Arial" w:cs="Arial"/>
          <w:color w:val="000000" w:themeColor="text1"/>
        </w:rPr>
        <w:t>We think that for the sake of optimizing the fast MCG recovery procedure e.g., optimizing the T316 timer value, it is necessary to measure the time of successful operation of fast MCG recovery, hence network can, based on collected statistics on the successful and failed MCG recovery procedures, set the T316 timer in such a way to maximize the rate of successful MCG recovery while having minimum MCG failures stemming from T316 timer expiry. Hence, we propose the following:</w:t>
      </w:r>
    </w:p>
    <w:p w14:paraId="42CD9684" w14:textId="34ECABA0" w:rsidR="5D3F2F88" w:rsidRDefault="5D3F2F88" w:rsidP="5D3F2F88">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lang w:val="en-US"/>
        </w:rPr>
      </w:pPr>
    </w:p>
    <w:p w14:paraId="2D04E358" w14:textId="4E881714" w:rsidR="150D44B3" w:rsidRPr="00A82EDC" w:rsidRDefault="150D44B3" w:rsidP="5D3F2F88">
      <w:pPr>
        <w:pStyle w:val="Proposal"/>
        <w:tabs>
          <w:tab w:val="num" w:pos="1304"/>
        </w:tabs>
        <w:jc w:val="left"/>
        <w:rPr>
          <w:rFonts w:eastAsia="Arial" w:cs="Arial"/>
          <w:color w:val="000000" w:themeColor="text1"/>
          <w:lang w:val="en-US"/>
        </w:rPr>
      </w:pPr>
      <w:bookmarkStart w:id="131" w:name="_Toc134720905"/>
      <w:r w:rsidRPr="5D3F2F88">
        <w:rPr>
          <w:rFonts w:eastAsia="Arial" w:cs="Arial"/>
          <w:color w:val="000000" w:themeColor="text1"/>
        </w:rPr>
        <w:t xml:space="preserve">UE logs the </w:t>
      </w:r>
      <w:r w:rsidR="00111A05">
        <w:rPr>
          <w:rFonts w:eastAsia="Arial" w:cs="Arial"/>
          <w:color w:val="000000" w:themeColor="text1"/>
        </w:rPr>
        <w:t xml:space="preserve">following </w:t>
      </w:r>
      <w:r w:rsidRPr="5D3F2F88">
        <w:rPr>
          <w:rFonts w:eastAsia="Arial" w:cs="Arial"/>
          <w:color w:val="000000" w:themeColor="text1"/>
        </w:rPr>
        <w:t>time</w:t>
      </w:r>
      <w:r w:rsidR="00111A05">
        <w:rPr>
          <w:rFonts w:eastAsia="Arial" w:cs="Arial"/>
          <w:color w:val="000000" w:themeColor="text1"/>
        </w:rPr>
        <w:t xml:space="preserve"> information</w:t>
      </w:r>
      <w:r w:rsidRPr="5D3F2F88">
        <w:rPr>
          <w:rFonts w:eastAsia="Arial" w:cs="Arial"/>
          <w:color w:val="000000" w:themeColor="text1"/>
        </w:rPr>
        <w:t xml:space="preserve"> </w:t>
      </w:r>
      <w:r w:rsidR="00111A05">
        <w:rPr>
          <w:rFonts w:eastAsia="Arial" w:cs="Arial"/>
          <w:color w:val="000000" w:themeColor="text1"/>
        </w:rPr>
        <w:t>for the</w:t>
      </w:r>
      <w:r w:rsidRPr="5D3F2F88">
        <w:rPr>
          <w:rFonts w:eastAsia="Arial" w:cs="Arial"/>
          <w:color w:val="000000" w:themeColor="text1"/>
        </w:rPr>
        <w:t xml:space="preserve"> fast MCG recovery.</w:t>
      </w:r>
      <w:bookmarkEnd w:id="131"/>
    </w:p>
    <w:p w14:paraId="21C817BD" w14:textId="48DF5D97" w:rsidR="00111A05" w:rsidRDefault="00111A05" w:rsidP="00111A05">
      <w:pPr>
        <w:pStyle w:val="Proposal"/>
        <w:numPr>
          <w:ilvl w:val="1"/>
          <w:numId w:val="30"/>
        </w:numPr>
        <w:jc w:val="left"/>
        <w:rPr>
          <w:rFonts w:eastAsia="Arial" w:cs="Arial"/>
          <w:color w:val="000000" w:themeColor="text1"/>
          <w:lang w:val="en-US"/>
        </w:rPr>
      </w:pPr>
      <w:bookmarkStart w:id="132" w:name="_Toc134720906"/>
      <w:r>
        <w:rPr>
          <w:rFonts w:eastAsia="Arial" w:cs="Arial"/>
          <w:color w:val="000000" w:themeColor="text1"/>
          <w:lang w:val="en-US"/>
        </w:rPr>
        <w:t xml:space="preserve">T316 running value </w:t>
      </w:r>
      <w:r w:rsidR="00D42A63">
        <w:rPr>
          <w:rFonts w:eastAsia="Arial" w:cs="Arial"/>
          <w:color w:val="000000" w:themeColor="text1"/>
          <w:lang w:val="en-US"/>
        </w:rPr>
        <w:t>(i.e., recovery time), always</w:t>
      </w:r>
      <w:bookmarkEnd w:id="132"/>
    </w:p>
    <w:p w14:paraId="3A643F36" w14:textId="49764AC1" w:rsidR="00D42A63" w:rsidRPr="00A82EDC" w:rsidRDefault="00D42A63" w:rsidP="00A82EDC">
      <w:pPr>
        <w:pStyle w:val="Proposal"/>
        <w:numPr>
          <w:ilvl w:val="1"/>
          <w:numId w:val="30"/>
        </w:numPr>
        <w:jc w:val="left"/>
        <w:rPr>
          <w:rFonts w:eastAsia="Arial" w:cs="Arial"/>
          <w:color w:val="000000" w:themeColor="text1"/>
          <w:lang w:val="en-US"/>
        </w:rPr>
      </w:pPr>
      <w:bookmarkStart w:id="133" w:name="_Toc134720907"/>
      <w:r>
        <w:rPr>
          <w:rFonts w:eastAsia="Arial" w:cs="Arial"/>
          <w:color w:val="000000" w:themeColor="text1"/>
          <w:lang w:val="en-US"/>
        </w:rPr>
        <w:t>T316 configured value, only if recovery is successful</w:t>
      </w:r>
      <w:bookmarkEnd w:id="133"/>
    </w:p>
    <w:p w14:paraId="43EBA8CE" w14:textId="77777777" w:rsidR="00111A05" w:rsidRDefault="00111A05" w:rsidP="00A82EDC">
      <w:pPr>
        <w:pStyle w:val="Proposal"/>
        <w:numPr>
          <w:ilvl w:val="1"/>
          <w:numId w:val="30"/>
        </w:numPr>
        <w:jc w:val="left"/>
        <w:rPr>
          <w:rFonts w:eastAsia="Arial" w:cs="Arial"/>
          <w:color w:val="000000" w:themeColor="text1"/>
          <w:lang w:val="en-US"/>
        </w:rPr>
      </w:pPr>
      <w:bookmarkStart w:id="134" w:name="_Toc134720908"/>
      <w:bookmarkEnd w:id="134"/>
    </w:p>
    <w:p w14:paraId="46525EF2" w14:textId="5DC4EA24" w:rsidR="150D44B3" w:rsidRDefault="150D44B3" w:rsidP="5D3F2F88">
      <w:pPr>
        <w:keepLines/>
        <w:tabs>
          <w:tab w:val="left" w:pos="2552"/>
          <w:tab w:val="left" w:pos="3856"/>
          <w:tab w:val="left" w:pos="5216"/>
          <w:tab w:val="left" w:pos="6464"/>
          <w:tab w:val="left" w:pos="7768"/>
          <w:tab w:val="left" w:pos="9072"/>
          <w:tab w:val="left" w:pos="9639"/>
        </w:tabs>
        <w:jc w:val="both"/>
        <w:rPr>
          <w:rFonts w:ascii="Arial" w:eastAsia="Arial" w:hAnsi="Arial" w:cs="Arial"/>
          <w:i/>
          <w:iCs/>
          <w:color w:val="7F7F7F" w:themeColor="text1" w:themeTint="80"/>
          <w:lang w:val="en-US"/>
        </w:rPr>
      </w:pPr>
      <w:r w:rsidRPr="5D3F2F88">
        <w:rPr>
          <w:rStyle w:val="IvDbodytextChar"/>
          <w:rFonts w:eastAsia="Arial" w:cs="Arial"/>
          <w:color w:val="000000" w:themeColor="text1"/>
        </w:rPr>
        <w:t>In addition, when the UE compiles the MCGFailureInformation, it is beneficial to log and report the SCG supervision timers, such as T310 and T312 timers. Such information assists the network to consider optimization of the SCG leg (e.g., reconfiguring RLM resources) before a failure occurs at the SCG leg.</w:t>
      </w:r>
    </w:p>
    <w:p w14:paraId="51425F24" w14:textId="53B38C36" w:rsidR="5D3F2F88" w:rsidRDefault="5D3F2F88" w:rsidP="5D3F2F88">
      <w:pPr>
        <w:keepLines/>
        <w:tabs>
          <w:tab w:val="left" w:pos="2552"/>
          <w:tab w:val="left" w:pos="3856"/>
          <w:tab w:val="left" w:pos="5216"/>
          <w:tab w:val="left" w:pos="6464"/>
          <w:tab w:val="left" w:pos="7768"/>
          <w:tab w:val="left" w:pos="9072"/>
          <w:tab w:val="left" w:pos="9639"/>
        </w:tabs>
        <w:spacing w:before="240" w:after="0"/>
        <w:rPr>
          <w:rFonts w:ascii="Arial" w:eastAsia="Arial" w:hAnsi="Arial" w:cs="Arial"/>
          <w:i/>
          <w:iCs/>
          <w:color w:val="7F7F7F" w:themeColor="text1" w:themeTint="80"/>
          <w:lang w:val="en-US"/>
        </w:rPr>
      </w:pPr>
    </w:p>
    <w:p w14:paraId="3B001B04" w14:textId="791B8078" w:rsidR="150D44B3" w:rsidRDefault="150D44B3" w:rsidP="5D3F2F88">
      <w:pPr>
        <w:pStyle w:val="Proposal"/>
        <w:tabs>
          <w:tab w:val="num" w:pos="1304"/>
        </w:tabs>
        <w:jc w:val="left"/>
        <w:rPr>
          <w:rFonts w:eastAsia="Arial" w:cs="Arial"/>
          <w:color w:val="000000" w:themeColor="text1"/>
          <w:lang w:val="en-US"/>
        </w:rPr>
      </w:pPr>
      <w:bookmarkStart w:id="135" w:name="_Toc134720909"/>
      <w:r w:rsidRPr="5D3F2F88">
        <w:rPr>
          <w:rFonts w:eastAsia="Arial" w:cs="Arial"/>
          <w:color w:val="000000" w:themeColor="text1"/>
        </w:rPr>
        <w:t>The UE logs and reports the SCG RLF supervision timers’ status e.g., SCG associated T310 and T312 timers’ value in the MCGFailureInformation (i.e., indicating if the SCG RLF timers (SCG T310/T312) are running)</w:t>
      </w:r>
      <w:bookmarkEnd w:id="135"/>
    </w:p>
    <w:p w14:paraId="5867F5E4" w14:textId="3AED2EFD" w:rsidR="5D3F2F88" w:rsidRDefault="5D3F2F88" w:rsidP="5D3F2F88">
      <w:pPr>
        <w:spacing w:after="120"/>
        <w:jc w:val="both"/>
        <w:rPr>
          <w:rFonts w:ascii="Arial" w:eastAsia="Arial" w:hAnsi="Arial" w:cs="Arial"/>
          <w:color w:val="000000" w:themeColor="text1"/>
          <w:lang w:val="en-US"/>
        </w:rPr>
      </w:pPr>
    </w:p>
    <w:p w14:paraId="72951EE5" w14:textId="3A931049" w:rsidR="5D3F2F88" w:rsidRDefault="5D3F2F88" w:rsidP="5D3F2F88">
      <w:pPr>
        <w:rPr>
          <w:lang w:val="en-US"/>
        </w:rPr>
      </w:pPr>
    </w:p>
    <w:p w14:paraId="76DB9788" w14:textId="77777777" w:rsidR="001C1A34" w:rsidRDefault="001C1A34" w:rsidP="001C1A34">
      <w:pPr>
        <w:pStyle w:val="Heading1"/>
        <w:jc w:val="both"/>
      </w:pPr>
      <w:r>
        <w:t>6</w:t>
      </w:r>
      <w:r>
        <w:tab/>
      </w:r>
      <w:r w:rsidRPr="00CE0424">
        <w:t>Conclusion</w:t>
      </w:r>
    </w:p>
    <w:p w14:paraId="61514260" w14:textId="77777777" w:rsidR="001C1A34" w:rsidRPr="008F72FF" w:rsidRDefault="001C1A34" w:rsidP="001C1A34">
      <w:pPr>
        <w:pStyle w:val="BodyText"/>
        <w:rPr>
          <w:rFonts w:cs="Arial"/>
          <w:b/>
          <w:bCs/>
        </w:rPr>
      </w:pPr>
      <w:r w:rsidRPr="008F72FF">
        <w:rPr>
          <w:rFonts w:cs="Arial"/>
        </w:rPr>
        <w:t>In the previous sections we made the following observations:</w:t>
      </w:r>
      <w:r w:rsidRPr="008F72FF">
        <w:rPr>
          <w:rFonts w:cs="Arial"/>
          <w:b/>
          <w:bCs/>
        </w:rPr>
        <w:t xml:space="preserve"> </w:t>
      </w:r>
    </w:p>
    <w:p w14:paraId="28BE1789" w14:textId="77777777" w:rsidR="006F63F3" w:rsidRDefault="001C1A3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34720841" w:history="1">
        <w:r w:rsidR="006F63F3" w:rsidRPr="00032B26">
          <w:rPr>
            <w:rStyle w:val="Hyperlink"/>
            <w:noProof/>
            <w:lang w:val="en-US"/>
          </w:rPr>
          <w:t>Observation 1</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lang w:val="en-US"/>
          </w:rPr>
          <w:t>UE may select an acceptable cell after failure in mobility from NR if no suitable EUTRA cell is found for an ongoing emergency call.</w:t>
        </w:r>
      </w:hyperlink>
    </w:p>
    <w:p w14:paraId="1F99B7BE"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42" w:history="1">
        <w:r w:rsidR="006F63F3" w:rsidRPr="00032B26">
          <w:rPr>
            <w:rStyle w:val="Hyperlink"/>
            <w:noProof/>
            <w:lang w:val="en-US"/>
          </w:rPr>
          <w:t>Observation 2</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lang w:val="en-US"/>
          </w:rPr>
          <w:t>Not differentiating acceptable cell from suitable cell that UE connected to after the failure, in the RLF report, can mislead the network to conclude that an acceptable cell can be a candidate for the next handovers (as it would do for a suitable cell).</w:t>
        </w:r>
      </w:hyperlink>
    </w:p>
    <w:p w14:paraId="672AA6BF"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43" w:history="1">
        <w:r w:rsidR="006F63F3" w:rsidRPr="00032B26">
          <w:rPr>
            <w:rStyle w:val="Hyperlink"/>
            <w:noProof/>
            <w:lang w:val="en-US"/>
          </w:rPr>
          <w:t>Observation 3</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lang w:val="en-US"/>
          </w:rPr>
          <w:t>Implicit indication using noSuitableCellFound-r16 flag creates ambiguity in some scenario.</w:t>
        </w:r>
      </w:hyperlink>
    </w:p>
    <w:p w14:paraId="6A4BEC76"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44" w:history="1">
        <w:r w:rsidR="006F63F3" w:rsidRPr="00032B26">
          <w:rPr>
            <w:rStyle w:val="Hyperlink"/>
            <w:noProof/>
            <w:lang w:val="en-US"/>
          </w:rPr>
          <w:t>Observation 4</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lang w:val="en-US"/>
          </w:rPr>
          <w:t>If the reconnectCell ID is EUTRA, it will not be possible for the network to figure out whether the reconnect cell ID was a suitable cell or acceptable cell during cell selection procedure, hence the network may use the reconnect cell ID as a candidate cell for future inter-RAT HO.</w:t>
        </w:r>
      </w:hyperlink>
    </w:p>
    <w:p w14:paraId="7DBB6D77"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45" w:history="1">
        <w:r w:rsidR="006F63F3" w:rsidRPr="00032B26">
          <w:rPr>
            <w:rStyle w:val="Hyperlink"/>
            <w:rFonts w:cs="Arial"/>
            <w:noProof/>
            <w:lang w:val="en-US"/>
          </w:rPr>
          <w:t>Observation 5</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rPr>
          <w:t>In RAN2#121bis it is agreed to support the scenario that UE fails shortly after a successful HO from NR to E-UTRAN for the voice fallback purpose.</w:t>
        </w:r>
      </w:hyperlink>
    </w:p>
    <w:p w14:paraId="1A635F13"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46" w:history="1">
        <w:r w:rsidR="006F63F3" w:rsidRPr="00032B26">
          <w:rPr>
            <w:rStyle w:val="Hyperlink"/>
            <w:noProof/>
          </w:rPr>
          <w:t>Observation 6</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rPr>
          <w:t>Network may not be able to configure the UE to perform RRM measurements prior to a voice fallback HO.</w:t>
        </w:r>
      </w:hyperlink>
    </w:p>
    <w:p w14:paraId="714324A8"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47" w:history="1">
        <w:r w:rsidR="006F63F3" w:rsidRPr="00032B26">
          <w:rPr>
            <w:rStyle w:val="Hyperlink"/>
            <w:rFonts w:cs="Arial"/>
            <w:noProof/>
            <w:lang w:val="en-US"/>
          </w:rPr>
          <w:t>Observation 7</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rPr>
          <w:t>In case of immediate/blind handovers, logging time spent in the source cell in the RLF report (already logged as part of MHI) assists the network to distinguish the lack of proper RRM measurement at the UE than the lack of radio coverage.</w:t>
        </w:r>
      </w:hyperlink>
    </w:p>
    <w:p w14:paraId="37E2292F"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48" w:history="1">
        <w:r w:rsidR="006F63F3" w:rsidRPr="00032B26">
          <w:rPr>
            <w:rStyle w:val="Hyperlink"/>
            <w:rFonts w:cs="Arial"/>
            <w:noProof/>
            <w:lang w:val="en-US"/>
          </w:rPr>
          <w:t>Observation 8</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rFonts w:cs="Arial"/>
            <w:noProof/>
            <w:lang w:val="en-US"/>
          </w:rPr>
          <w:t>To evaluate SPR triggering condition, UE needs to monitor T310/T312 timers associated to the source PSCell.</w:t>
        </w:r>
      </w:hyperlink>
    </w:p>
    <w:p w14:paraId="7A52B621"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49" w:history="1">
        <w:r w:rsidR="006F63F3" w:rsidRPr="00032B26">
          <w:rPr>
            <w:rStyle w:val="Hyperlink"/>
            <w:rFonts w:cs="Arial"/>
            <w:noProof/>
            <w:lang w:val="en-US"/>
          </w:rPr>
          <w:t>Observation 9</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rFonts w:cs="Arial"/>
            <w:noProof/>
            <w:lang w:val="en-US"/>
          </w:rPr>
          <w:t>For SN initiated classic PSCell change, source SN node has control of the T310/T312 timers and may decide the T310/T312 triggers.</w:t>
        </w:r>
      </w:hyperlink>
    </w:p>
    <w:p w14:paraId="522209D2"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50" w:history="1">
        <w:r w:rsidR="006F63F3" w:rsidRPr="00032B26">
          <w:rPr>
            <w:rStyle w:val="Hyperlink"/>
            <w:rFonts w:cs="Arial"/>
            <w:noProof/>
            <w:lang w:val="en-US"/>
          </w:rPr>
          <w:t>Observation 10</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rFonts w:cs="Arial"/>
            <w:noProof/>
            <w:lang w:val="en-US"/>
          </w:rPr>
          <w:t>RAN3 agreed for SN initiated classic PSCell change, the source SN node decides the T310/T312 triggers.</w:t>
        </w:r>
      </w:hyperlink>
    </w:p>
    <w:p w14:paraId="7EDFA49D"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51" w:history="1">
        <w:r w:rsidR="006F63F3" w:rsidRPr="00032B26">
          <w:rPr>
            <w:rStyle w:val="Hyperlink"/>
            <w:rFonts w:cs="Arial"/>
            <w:noProof/>
            <w:lang w:val="en-US"/>
          </w:rPr>
          <w:t>Observation 11</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rFonts w:cs="Arial"/>
            <w:noProof/>
            <w:lang w:val="en-US"/>
          </w:rPr>
          <w:t xml:space="preserve">MN may configure the UE with SPR threshold values using </w:t>
        </w:r>
        <w:r w:rsidR="006F63F3" w:rsidRPr="00032B26">
          <w:rPr>
            <w:rStyle w:val="Hyperlink"/>
            <w:rFonts w:cs="Arial"/>
            <w:i/>
            <w:iCs/>
            <w:noProof/>
            <w:lang w:val="en-US"/>
          </w:rPr>
          <w:t>RRCReconfiguration</w:t>
        </w:r>
        <w:r w:rsidR="006F63F3" w:rsidRPr="00032B26">
          <w:rPr>
            <w:rStyle w:val="Hyperlink"/>
            <w:rFonts w:cs="Arial"/>
            <w:noProof/>
            <w:lang w:val="en-US"/>
          </w:rPr>
          <w:t xml:space="preserve"> message for MCG bearers which UE uses to monitor SCG resources.</w:t>
        </w:r>
      </w:hyperlink>
    </w:p>
    <w:p w14:paraId="64BB0761"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52" w:history="1">
        <w:r w:rsidR="006F63F3" w:rsidRPr="00032B26">
          <w:rPr>
            <w:rStyle w:val="Hyperlink"/>
            <w:rFonts w:cs="Arial"/>
            <w:noProof/>
            <w:lang w:val="en-US"/>
          </w:rPr>
          <w:t>Observation 12</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rFonts w:cs="Arial"/>
            <w:noProof/>
            <w:lang w:val="en-US"/>
          </w:rPr>
          <w:t xml:space="preserve">SN may configure the UE with SPR threshold values using </w:t>
        </w:r>
        <w:r w:rsidR="006F63F3" w:rsidRPr="00032B26">
          <w:rPr>
            <w:rStyle w:val="Hyperlink"/>
            <w:rFonts w:cs="Arial"/>
            <w:i/>
            <w:iCs/>
            <w:noProof/>
            <w:lang w:val="en-US"/>
          </w:rPr>
          <w:t>RRCReconfiguration</w:t>
        </w:r>
        <w:r w:rsidR="006F63F3" w:rsidRPr="00032B26">
          <w:rPr>
            <w:rStyle w:val="Hyperlink"/>
            <w:rFonts w:cs="Arial"/>
            <w:noProof/>
            <w:lang w:val="en-US"/>
          </w:rPr>
          <w:t xml:space="preserve"> message for SCG bearers which UE uses to monitor SCG resources. For intra-SN PSCell change, SN does not perform any coordination with MN</w:t>
        </w:r>
      </w:hyperlink>
    </w:p>
    <w:p w14:paraId="76170740"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53" w:history="1">
        <w:r w:rsidR="006F63F3" w:rsidRPr="00032B26">
          <w:rPr>
            <w:rStyle w:val="Hyperlink"/>
            <w:rFonts w:cs="Arial"/>
            <w:noProof/>
            <w:lang w:val="en-US"/>
          </w:rPr>
          <w:t>Observation 13</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lang w:val="en-US"/>
          </w:rPr>
          <w:t>Setting two events for conditional PSCell change/addition is a delicate task and sub-optimal configuration may lead to sub-optimal performance of PSCell change/addition operation.</w:t>
        </w:r>
      </w:hyperlink>
    </w:p>
    <w:p w14:paraId="6C7E1B7B"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54" w:history="1">
        <w:r w:rsidR="006F63F3" w:rsidRPr="00032B26">
          <w:rPr>
            <w:rStyle w:val="Hyperlink"/>
            <w:rFonts w:cs="Arial"/>
            <w:noProof/>
            <w:lang w:val="en-US"/>
          </w:rPr>
          <w:t>Observation 14</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lang w:val="en-US"/>
          </w:rPr>
          <w:t>The time elapsed between fulfilling first and second events (e.g., A3 and A5 events) configured as part of conditional CPAC is subject to optimization.</w:t>
        </w:r>
      </w:hyperlink>
    </w:p>
    <w:p w14:paraId="3CF139FD"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55" w:history="1">
        <w:r w:rsidR="006F63F3" w:rsidRPr="00032B26">
          <w:rPr>
            <w:rStyle w:val="Hyperlink"/>
            <w:rFonts w:cs="Arial"/>
            <w:noProof/>
            <w:lang w:val="en-US"/>
          </w:rPr>
          <w:t>Observation 15</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lang w:val="en-US"/>
          </w:rPr>
          <w:t>The time elapsed from receiving the CPAC configuration to the time of CPAC execution can be subject to optimization.</w:t>
        </w:r>
      </w:hyperlink>
    </w:p>
    <w:p w14:paraId="0D4A85F1"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56" w:history="1">
        <w:r w:rsidR="006F63F3" w:rsidRPr="00032B26">
          <w:rPr>
            <w:rStyle w:val="Hyperlink"/>
            <w:rFonts w:cs="Arial"/>
            <w:noProof/>
            <w:lang w:val="en-US"/>
          </w:rPr>
          <w:t>Observation 16</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lang w:val="en-US"/>
          </w:rPr>
          <w:t>When the UE is in dual connectivity with a NR-U PSCell the UE can log SPR when it experiences LBT issue during PSCell change/addition operation.</w:t>
        </w:r>
      </w:hyperlink>
    </w:p>
    <w:p w14:paraId="7F0118A8"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57" w:history="1">
        <w:r w:rsidR="006F63F3" w:rsidRPr="00032B26">
          <w:rPr>
            <w:rStyle w:val="Hyperlink"/>
            <w:noProof/>
          </w:rPr>
          <w:t>Observation 17</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rFonts w:cs="Arial"/>
            <w:noProof/>
          </w:rPr>
          <w:t>Inter-RAT SHR cannot be used for improving the handover performance of the target (LTE) cell.</w:t>
        </w:r>
      </w:hyperlink>
    </w:p>
    <w:p w14:paraId="681BE861"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58" w:history="1">
        <w:r w:rsidR="006F63F3" w:rsidRPr="00032B26">
          <w:rPr>
            <w:rStyle w:val="Hyperlink"/>
            <w:noProof/>
          </w:rPr>
          <w:t>Observation 18</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noProof/>
          </w:rPr>
          <w:t>For a SHR generated for a NR-to-LTE handover, the SHR can be reported to the source node only when the UE returns to the NR network. This can take up to 48 hours.</w:t>
        </w:r>
      </w:hyperlink>
    </w:p>
    <w:p w14:paraId="11AEBB1D"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59" w:history="1">
        <w:r w:rsidR="006F63F3" w:rsidRPr="00032B26">
          <w:rPr>
            <w:rStyle w:val="Hyperlink"/>
            <w:rFonts w:eastAsia="Arial" w:cs="Arial"/>
            <w:noProof/>
            <w:lang w:val="en-US"/>
          </w:rPr>
          <w:t>Observation 19</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rFonts w:eastAsia="Arial" w:cs="Arial"/>
            <w:noProof/>
          </w:rPr>
          <w:t>At the time of SCGFailureInformation transmission, knowledge of the MCG status i.e., whether MCG is close to failure or not (e.g., T310 or T312 timers’ values, if running at the MCG) is beneficial for the network decision.</w:t>
        </w:r>
      </w:hyperlink>
    </w:p>
    <w:p w14:paraId="774D1442"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60" w:history="1">
        <w:r w:rsidR="006F63F3" w:rsidRPr="00032B26">
          <w:rPr>
            <w:rStyle w:val="Hyperlink"/>
            <w:rFonts w:eastAsia="Arial" w:cs="Arial"/>
            <w:noProof/>
            <w:lang w:val="en-US"/>
          </w:rPr>
          <w:t>Observation 20</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rFonts w:eastAsia="Arial" w:cs="Arial"/>
            <w:noProof/>
            <w:lang w:val="en-US"/>
          </w:rPr>
          <w:t>Relaxed RLM may result in delay declaring RLF causing a poor experience by the UE.</w:t>
        </w:r>
      </w:hyperlink>
    </w:p>
    <w:p w14:paraId="630F282D"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61" w:history="1">
        <w:r w:rsidR="006F63F3" w:rsidRPr="00032B26">
          <w:rPr>
            <w:rStyle w:val="Hyperlink"/>
            <w:rFonts w:eastAsia="Arial" w:cs="Arial"/>
            <w:noProof/>
            <w:lang w:val="en-US"/>
          </w:rPr>
          <w:t>Observation 21</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032B26">
          <w:rPr>
            <w:rStyle w:val="Hyperlink"/>
            <w:rFonts w:eastAsia="Arial" w:cs="Arial"/>
            <w:noProof/>
            <w:lang w:val="en-US"/>
          </w:rPr>
          <w:t>Relaxed BFD may avoid triggering BFR at right time, which may lead to failure while a proper BFR could recover the UE from failure.</w:t>
        </w:r>
      </w:hyperlink>
    </w:p>
    <w:p w14:paraId="0769723D" w14:textId="77777777" w:rsidR="006F63F3" w:rsidRDefault="001C1A34" w:rsidP="001C1A34">
      <w:pPr>
        <w:pStyle w:val="BodyText"/>
        <w:rPr>
          <w:rFonts w:cs="Arial"/>
          <w:b/>
          <w:bCs/>
        </w:rPr>
      </w:pPr>
      <w:r w:rsidRPr="008F72FF">
        <w:rPr>
          <w:rFonts w:cs="Arial"/>
          <w:b/>
          <w:bCs/>
        </w:rPr>
        <w:fldChar w:fldCharType="end"/>
      </w:r>
    </w:p>
    <w:p w14:paraId="45054D48" w14:textId="0AB9727A" w:rsidR="001C1A34" w:rsidRDefault="001C1A34" w:rsidP="001C1A34">
      <w:pPr>
        <w:pStyle w:val="BodyText"/>
        <w:rPr>
          <w:rFonts w:cs="Arial"/>
        </w:rPr>
      </w:pPr>
      <w:r w:rsidRPr="008F72FF">
        <w:rPr>
          <w:rFonts w:cs="Arial"/>
        </w:rPr>
        <w:t>Based on the discussion in the previous sections we propose the following:</w:t>
      </w:r>
    </w:p>
    <w:p w14:paraId="1D5747AE" w14:textId="77777777" w:rsidR="006F63F3" w:rsidRPr="008F72FF" w:rsidRDefault="006F63F3" w:rsidP="001C1A34">
      <w:pPr>
        <w:pStyle w:val="BodyText"/>
        <w:rPr>
          <w:rFonts w:cs="Arial"/>
        </w:rPr>
      </w:pPr>
    </w:p>
    <w:p w14:paraId="77474CBF" w14:textId="77777777" w:rsidR="006F63F3" w:rsidRDefault="001C1A3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sidRPr="2BFCE5CC">
        <w:rPr>
          <w:rFonts w:cs="Arial"/>
          <w:b w:val="0"/>
          <w:bCs/>
          <w:lang w:val="en-US"/>
        </w:rPr>
        <w:fldChar w:fldCharType="begin"/>
      </w:r>
      <w:r w:rsidRPr="008F72FF">
        <w:rPr>
          <w:rFonts w:cs="Arial"/>
          <w:b w:val="0"/>
          <w:bCs/>
          <w:lang w:val="en-US"/>
        </w:rPr>
        <w:instrText xml:space="preserve"> TOC \n \h \z \t "Proposal" \c </w:instrText>
      </w:r>
      <w:r w:rsidRPr="2BFCE5CC">
        <w:rPr>
          <w:rFonts w:cs="Arial"/>
          <w:b w:val="0"/>
          <w:bCs/>
          <w:lang w:val="en-US"/>
        </w:rPr>
        <w:fldChar w:fldCharType="separate"/>
      </w:r>
      <w:hyperlink w:anchor="_Toc134720862" w:history="1">
        <w:r w:rsidR="006F63F3" w:rsidRPr="00B734A0">
          <w:rPr>
            <w:rStyle w:val="Hyperlink"/>
            <w:rFonts w:cs="Arial"/>
            <w:noProof/>
            <w:lang w:val="en-US"/>
          </w:rPr>
          <w:t>Proposal 1</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cs="Arial"/>
            <w:noProof/>
          </w:rPr>
          <w:t>RAN2 to agree extend the existing voiceFallback indication to differentiate the emergency calls fallback failure from normal HOs. FFS the details.</w:t>
        </w:r>
      </w:hyperlink>
    </w:p>
    <w:p w14:paraId="05582830"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63" w:history="1">
        <w:r w:rsidR="006F63F3" w:rsidRPr="00B734A0">
          <w:rPr>
            <w:rStyle w:val="Hyperlink"/>
            <w:rFonts w:cs="Arial"/>
            <w:noProof/>
            <w:lang w:val="en-US"/>
          </w:rPr>
          <w:t>Proposal 2</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RAN2 agree to differentiate an acceptable cell from a suitable cell in the RLF report in case of mobility from NR failure.</w:t>
        </w:r>
      </w:hyperlink>
    </w:p>
    <w:p w14:paraId="220A6306"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64" w:history="1">
        <w:r w:rsidR="006F63F3" w:rsidRPr="00B734A0">
          <w:rPr>
            <w:rStyle w:val="Hyperlink"/>
            <w:noProof/>
            <w:lang w:val="en-US"/>
          </w:rPr>
          <w:t>Proposal 3</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lang w:val="en-US"/>
          </w:rPr>
          <w:t>If the reconnectCell ID is EUTRA, the UE to include a flag indicating whether the reconnect cell ID was a suitable cell or acceptable cell during cell selection procedure.</w:t>
        </w:r>
      </w:hyperlink>
    </w:p>
    <w:p w14:paraId="0385AFC1"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65" w:history="1">
        <w:r w:rsidR="006F63F3" w:rsidRPr="00B734A0">
          <w:rPr>
            <w:rStyle w:val="Hyperlink"/>
            <w:rFonts w:cs="Arial"/>
            <w:noProof/>
            <w:lang w:val="en-US"/>
          </w:rPr>
          <w:t>Proposal 4</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cs="Arial"/>
            <w:noProof/>
          </w:rPr>
          <w:t>UE logs the explicit indication for voice fallback handover in the LTE RLF report for RLF after successful voice fallback HOs.</w:t>
        </w:r>
      </w:hyperlink>
    </w:p>
    <w:p w14:paraId="3AB43909"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66" w:history="1">
        <w:r w:rsidR="006F63F3" w:rsidRPr="00B734A0">
          <w:rPr>
            <w:rStyle w:val="Hyperlink"/>
            <w:noProof/>
          </w:rPr>
          <w:t>Proposal 5</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RAN2 consider the scenario that upon transition to connected state from IDLE and immediate HO to LTE network due to voice fallback, the UE may not have L3 measurements available to report in the RLF report.</w:t>
        </w:r>
      </w:hyperlink>
    </w:p>
    <w:p w14:paraId="2EFCD168"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67" w:history="1">
        <w:r w:rsidR="006F63F3" w:rsidRPr="00B734A0">
          <w:rPr>
            <w:rStyle w:val="Hyperlink"/>
            <w:rFonts w:cs="Arial"/>
            <w:noProof/>
            <w:lang w:val="en-US"/>
          </w:rPr>
          <w:t>Proposal 6</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cs="Arial"/>
            <w:noProof/>
          </w:rPr>
          <w:t>UE includes the available early measurements in the RLF report after experiencing voice fallback HOF.</w:t>
        </w:r>
      </w:hyperlink>
    </w:p>
    <w:p w14:paraId="33FA5308"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68" w:history="1">
        <w:r w:rsidR="006F63F3" w:rsidRPr="00B734A0">
          <w:rPr>
            <w:rStyle w:val="Hyperlink"/>
            <w:rFonts w:cs="Arial"/>
            <w:noProof/>
            <w:lang w:val="en-US"/>
          </w:rPr>
          <w:t>Proposal 7</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cs="Arial"/>
            <w:noProof/>
          </w:rPr>
          <w:t>UE includes time spent in the source cell in the RLF report upon voiceFallback HOF.</w:t>
        </w:r>
      </w:hyperlink>
    </w:p>
    <w:p w14:paraId="255021FD"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69" w:history="1">
        <w:r w:rsidR="006F63F3" w:rsidRPr="00B734A0">
          <w:rPr>
            <w:rStyle w:val="Hyperlink"/>
            <w:noProof/>
          </w:rPr>
          <w:t>Proposal 8</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T310 and T312 timer related triggering conditions are set by node initiating the PSCell change procedure. i.e., - MN initiated PSCell change, MN configures the T310 and T312 related triggering conditions.  - SN initiated PSCell change, source SN configures the T310 and T312 related triggering conditions.</w:t>
        </w:r>
      </w:hyperlink>
    </w:p>
    <w:p w14:paraId="0E34B6B6"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70" w:history="1">
        <w:r w:rsidR="006F63F3" w:rsidRPr="00B734A0">
          <w:rPr>
            <w:rStyle w:val="Hyperlink"/>
            <w:noProof/>
          </w:rPr>
          <w:t>Proposal 9</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lang w:val="en-US"/>
          </w:rPr>
          <w:t>For the MN initiated PSCell change MN configures only a single threshold value for T310 and T312 thresholds (instead of having a list of percentage values)to trigger SPR. UE logs SPR if the timer T310 or T312 of the source PSCell exceeds the threshold during execution of the PSCell change</w:t>
        </w:r>
        <w:r w:rsidR="006F63F3" w:rsidRPr="00B734A0">
          <w:rPr>
            <w:rStyle w:val="Hyperlink"/>
            <w:noProof/>
          </w:rPr>
          <w:t>.</w:t>
        </w:r>
      </w:hyperlink>
    </w:p>
    <w:p w14:paraId="175228C1"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71" w:history="1">
        <w:r w:rsidR="006F63F3" w:rsidRPr="00B734A0">
          <w:rPr>
            <w:rStyle w:val="Hyperlink"/>
            <w:rFonts w:cs="Arial"/>
            <w:noProof/>
            <w:lang w:val="en-US"/>
          </w:rPr>
          <w:t>Proposal 10</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Network includes a flag in the SPR configuration if the PSCell change procedure is MN initiated or SN initiated.</w:t>
        </w:r>
      </w:hyperlink>
    </w:p>
    <w:p w14:paraId="45F23646"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72" w:history="1">
        <w:r w:rsidR="006F63F3" w:rsidRPr="00B734A0">
          <w:rPr>
            <w:rStyle w:val="Hyperlink"/>
            <w:rFonts w:cs="Arial"/>
            <w:noProof/>
            <w:lang w:val="en-US"/>
          </w:rPr>
          <w:t>Proposal 11</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UE logs an indication in the SPR that the PSCell chenage led to the SPR was MN initiated or SN initiated.</w:t>
        </w:r>
      </w:hyperlink>
    </w:p>
    <w:p w14:paraId="7819042D"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73" w:history="1">
        <w:r w:rsidR="006F63F3" w:rsidRPr="00B734A0">
          <w:rPr>
            <w:rStyle w:val="Hyperlink"/>
            <w:noProof/>
          </w:rPr>
          <w:t>Proposal 12</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SPR is triggered based on the following additional triggers: - time between CPAC triggering threshold  - time between receiving CPAC configuration to the execution of the CPAC - Experiencing LBT issues during PSCell change/addition execution</w:t>
        </w:r>
      </w:hyperlink>
    </w:p>
    <w:p w14:paraId="72C23000"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74" w:history="1">
        <w:r w:rsidR="006F63F3" w:rsidRPr="00B734A0">
          <w:rPr>
            <w:rStyle w:val="Hyperlink"/>
            <w:rFonts w:cs="Arial"/>
            <w:noProof/>
          </w:rPr>
          <w:t>Proposal 13</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lang w:val="en-US"/>
          </w:rPr>
          <w:t xml:space="preserve">Network collects the SPR from UE using </w:t>
        </w:r>
        <w:r w:rsidR="006F63F3" w:rsidRPr="00B734A0">
          <w:rPr>
            <w:rStyle w:val="Hyperlink"/>
            <w:i/>
            <w:iCs/>
            <w:noProof/>
            <w:lang w:val="en-US"/>
          </w:rPr>
          <w:t>UEInformationRequest</w:t>
        </w:r>
        <w:r w:rsidR="006F63F3" w:rsidRPr="00B734A0">
          <w:rPr>
            <w:rStyle w:val="Hyperlink"/>
            <w:noProof/>
            <w:lang w:val="en-US"/>
          </w:rPr>
          <w:t>/</w:t>
        </w:r>
        <w:r w:rsidR="006F63F3" w:rsidRPr="00B734A0">
          <w:rPr>
            <w:rStyle w:val="Hyperlink"/>
            <w:i/>
            <w:iCs/>
            <w:noProof/>
            <w:lang w:val="en-US"/>
          </w:rPr>
          <w:t>UEinformationRespose</w:t>
        </w:r>
        <w:r w:rsidR="006F63F3" w:rsidRPr="00B734A0">
          <w:rPr>
            <w:rStyle w:val="Hyperlink"/>
            <w:noProof/>
            <w:lang w:val="en-US"/>
          </w:rPr>
          <w:t xml:space="preserve"> messages.</w:t>
        </w:r>
      </w:hyperlink>
    </w:p>
    <w:p w14:paraId="1EB8615E"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75" w:history="1">
        <w:r w:rsidR="006F63F3" w:rsidRPr="00B734A0">
          <w:rPr>
            <w:rStyle w:val="Hyperlink"/>
            <w:rFonts w:cs="Arial"/>
            <w:noProof/>
          </w:rPr>
          <w:t>Proposal 14</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lang w:val="en-US"/>
          </w:rPr>
          <w:t>UE indicates availability of SPR report to the network in the following RRC messages:</w:t>
        </w:r>
      </w:hyperlink>
    </w:p>
    <w:p w14:paraId="227C263F"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76" w:history="1">
        <w:r w:rsidR="006F63F3" w:rsidRPr="00B734A0">
          <w:rPr>
            <w:rStyle w:val="Hyperlink"/>
            <w:rFonts w:cs="Arial"/>
            <w:i/>
            <w:iCs/>
            <w:noProof/>
          </w:rPr>
          <w:t>a.</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i/>
            <w:iCs/>
            <w:noProof/>
            <w:lang w:val="en-US"/>
          </w:rPr>
          <w:t>RRCReconfigurationComplete</w:t>
        </w:r>
      </w:hyperlink>
    </w:p>
    <w:p w14:paraId="0FD40339"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77" w:history="1">
        <w:r w:rsidR="006F63F3" w:rsidRPr="00B734A0">
          <w:rPr>
            <w:rStyle w:val="Hyperlink"/>
            <w:rFonts w:cs="Arial"/>
            <w:i/>
            <w:iCs/>
            <w:noProof/>
          </w:rPr>
          <w:t>b.</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i/>
            <w:iCs/>
            <w:noProof/>
            <w:lang w:val="en-US"/>
          </w:rPr>
          <w:t>RRCSetupComplete</w:t>
        </w:r>
      </w:hyperlink>
    </w:p>
    <w:p w14:paraId="538C6E5C"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78" w:history="1">
        <w:r w:rsidR="006F63F3" w:rsidRPr="00B734A0">
          <w:rPr>
            <w:rStyle w:val="Hyperlink"/>
            <w:rFonts w:cs="Arial"/>
            <w:i/>
            <w:iCs/>
            <w:noProof/>
          </w:rPr>
          <w:t>c.</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i/>
            <w:iCs/>
            <w:noProof/>
            <w:lang w:val="en-US"/>
          </w:rPr>
          <w:t>RRCResumeComplete</w:t>
        </w:r>
      </w:hyperlink>
    </w:p>
    <w:p w14:paraId="4D72924B"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79" w:history="1">
        <w:r w:rsidR="006F63F3" w:rsidRPr="00B734A0">
          <w:rPr>
            <w:rStyle w:val="Hyperlink"/>
            <w:rFonts w:cs="Arial"/>
            <w:i/>
            <w:iCs/>
            <w:noProof/>
          </w:rPr>
          <w:t>d.</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i/>
            <w:iCs/>
            <w:noProof/>
            <w:lang w:val="en-US"/>
          </w:rPr>
          <w:t>RRCReestablishmentComplete</w:t>
        </w:r>
      </w:hyperlink>
    </w:p>
    <w:p w14:paraId="3F631D0A"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80" w:history="1">
        <w:r w:rsidR="006F63F3" w:rsidRPr="00B734A0">
          <w:rPr>
            <w:rStyle w:val="Hyperlink"/>
            <w:rFonts w:cs="Arial"/>
            <w:noProof/>
          </w:rPr>
          <w:t>Proposal 15</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lang w:val="en-US"/>
          </w:rPr>
          <w:t>UE performs PLMN identity check before indicating SPR availability to the network.</w:t>
        </w:r>
      </w:hyperlink>
    </w:p>
    <w:p w14:paraId="585DE1A5"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81" w:history="1">
        <w:r w:rsidR="006F63F3" w:rsidRPr="00B734A0">
          <w:rPr>
            <w:rStyle w:val="Hyperlink"/>
            <w:rFonts w:cs="Arial"/>
            <w:noProof/>
          </w:rPr>
          <w:t>Proposal 16</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cs="Arial"/>
            <w:noProof/>
          </w:rPr>
          <w:t>UE logs the following additional information in the SPR report:</w:t>
        </w:r>
      </w:hyperlink>
    </w:p>
    <w:p w14:paraId="24A66F0E"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82" w:history="1">
        <w:r w:rsidR="006F63F3" w:rsidRPr="00B734A0">
          <w:rPr>
            <w:rStyle w:val="Hyperlink"/>
            <w:rFonts w:ascii="Symbol" w:hAnsi="Symbol" w:cs="Arial"/>
            <w:noProof/>
          </w:rPr>
          <w:t></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cs="Arial"/>
            <w:noProof/>
            <w:lang w:eastAsia="ja-JP"/>
          </w:rPr>
          <w:t>Random access related information if SPR is triggered due to consistent LBT failure</w:t>
        </w:r>
      </w:hyperlink>
    </w:p>
    <w:p w14:paraId="1FFF2615"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83" w:history="1">
        <w:r w:rsidR="006F63F3" w:rsidRPr="00B734A0">
          <w:rPr>
            <w:rStyle w:val="Hyperlink"/>
            <w:rFonts w:ascii="Symbol" w:hAnsi="Symbol" w:cs="Arial"/>
            <w:noProof/>
          </w:rPr>
          <w:t></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cs="Arial"/>
            <w:noProof/>
            <w:lang w:eastAsia="ja-JP"/>
          </w:rPr>
          <w:t>C-RNTI in the PCell</w:t>
        </w:r>
      </w:hyperlink>
    </w:p>
    <w:p w14:paraId="1A64BDBC"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84" w:history="1">
        <w:r w:rsidR="006F63F3" w:rsidRPr="00B734A0">
          <w:rPr>
            <w:rStyle w:val="Hyperlink"/>
            <w:rFonts w:ascii="Symbol" w:hAnsi="Symbol" w:cs="Arial"/>
            <w:noProof/>
          </w:rPr>
          <w:t></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cs="Arial"/>
            <w:noProof/>
            <w:lang w:eastAsia="ja-JP"/>
          </w:rPr>
          <w:t>Time between SPR generation at the UE and fetching by the network.</w:t>
        </w:r>
      </w:hyperlink>
    </w:p>
    <w:p w14:paraId="25CFA16D"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85" w:history="1">
        <w:r w:rsidR="006F63F3" w:rsidRPr="00B734A0">
          <w:rPr>
            <w:rStyle w:val="Hyperlink"/>
            <w:rFonts w:ascii="Symbol" w:hAnsi="Symbol" w:cs="Arial"/>
            <w:noProof/>
          </w:rPr>
          <w:t></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cs="Arial"/>
            <w:noProof/>
          </w:rPr>
          <w:t>LBT related information and measurements when operating in NR-U</w:t>
        </w:r>
      </w:hyperlink>
    </w:p>
    <w:p w14:paraId="29709B0E"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86" w:history="1">
        <w:r w:rsidR="006F63F3" w:rsidRPr="00B734A0">
          <w:rPr>
            <w:rStyle w:val="Hyperlink"/>
            <w:noProof/>
          </w:rPr>
          <w:t>Proposal 17</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RAN2 agree to enhance the inter-RAT SHR configuration with a triggering condition associated to the number of random accesses attempts toward the LTE cell.</w:t>
        </w:r>
      </w:hyperlink>
    </w:p>
    <w:p w14:paraId="5FF9345C"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87" w:history="1">
        <w:r w:rsidR="006F63F3" w:rsidRPr="00B734A0">
          <w:rPr>
            <w:rStyle w:val="Hyperlink"/>
            <w:noProof/>
          </w:rPr>
          <w:t>Proposal 18</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For Inter-RAT handover from NR to LTE, augment the SHR with a counter for the number of RA attempts made for the successful handover.</w:t>
        </w:r>
      </w:hyperlink>
    </w:p>
    <w:p w14:paraId="765AAA2D"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88" w:history="1">
        <w:r w:rsidR="006F63F3" w:rsidRPr="00B734A0">
          <w:rPr>
            <w:rStyle w:val="Hyperlink"/>
            <w:noProof/>
          </w:rPr>
          <w:t>Proposal 19</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For Inter-RAT handover from NR to LTE, augment the SHR with a flag on whether contention was observed for the successful handover.</w:t>
        </w:r>
      </w:hyperlink>
    </w:p>
    <w:p w14:paraId="0F3F6AC0"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89" w:history="1">
        <w:r w:rsidR="006F63F3" w:rsidRPr="00B734A0">
          <w:rPr>
            <w:rStyle w:val="Hyperlink"/>
            <w:noProof/>
          </w:rPr>
          <w:t>Proposal 20</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cs="Arial"/>
            <w:noProof/>
          </w:rPr>
          <w:t>Also note that this behaviour is against a previous RAN2 agreement to not use T304. For this particular case, this agreement must be reverted.</w:t>
        </w:r>
        <w:r w:rsidR="006F63F3" w:rsidRPr="00B734A0">
          <w:rPr>
            <w:rStyle w:val="Hyperlink"/>
            <w:noProof/>
          </w:rPr>
          <w:t>RAN2 to agree to allow the source (NR) node to configure triggers for T304 for inter-RAT SHR.</w:t>
        </w:r>
      </w:hyperlink>
    </w:p>
    <w:p w14:paraId="0EEEF888"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90" w:history="1">
        <w:r w:rsidR="006F63F3" w:rsidRPr="00B734A0">
          <w:rPr>
            <w:rStyle w:val="Hyperlink"/>
            <w:noProof/>
          </w:rPr>
          <w:t>Proposal 21</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Inter-RAT SHR to include the time between report generation and report fetching.</w:t>
        </w:r>
      </w:hyperlink>
    </w:p>
    <w:p w14:paraId="00C13667"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91" w:history="1">
        <w:r w:rsidR="006F63F3" w:rsidRPr="00B734A0">
          <w:rPr>
            <w:rStyle w:val="Hyperlink"/>
            <w:noProof/>
          </w:rPr>
          <w:t>Proposal 22</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 xml:space="preserve">For Inter-RAT SHR, the </w:t>
        </w:r>
        <w:r w:rsidR="006F63F3" w:rsidRPr="00B734A0">
          <w:rPr>
            <w:rStyle w:val="Hyperlink"/>
            <w:rFonts w:ascii="Courier New" w:hAnsi="Courier New" w:cs="Courier New"/>
            <w:noProof/>
          </w:rPr>
          <w:t>shr-Cause-r17</w:t>
        </w:r>
        <w:r w:rsidR="006F63F3" w:rsidRPr="00B734A0">
          <w:rPr>
            <w:rStyle w:val="Hyperlink"/>
            <w:noProof/>
          </w:rPr>
          <w:t xml:space="preserve"> IE needs to be extended with a new cause for RACH issues.</w:t>
        </w:r>
      </w:hyperlink>
    </w:p>
    <w:p w14:paraId="0F50BB5A"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92" w:history="1">
        <w:r w:rsidR="006F63F3" w:rsidRPr="00B734A0">
          <w:rPr>
            <w:rStyle w:val="Hyperlink"/>
            <w:rFonts w:cs="Arial"/>
            <w:noProof/>
          </w:rPr>
          <w:t>Proposal 23</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cs="Arial"/>
            <w:noProof/>
          </w:rPr>
          <w:t xml:space="preserve">The </w:t>
        </w:r>
        <w:r w:rsidR="006F63F3" w:rsidRPr="00B734A0">
          <w:rPr>
            <w:rStyle w:val="Hyperlink"/>
            <w:rFonts w:eastAsia="SimSun" w:cs="Arial"/>
            <w:noProof/>
          </w:rPr>
          <w:t>ra-InformationCommon-r17</w:t>
        </w:r>
        <w:r w:rsidR="006F63F3" w:rsidRPr="00B734A0">
          <w:rPr>
            <w:rStyle w:val="Hyperlink"/>
            <w:rFonts w:cs="Arial"/>
            <w:noProof/>
          </w:rPr>
          <w:t xml:space="preserve"> IE contains information regarding the NR RACH procedure. For handovers to LTE, we need to be able to include information about the LTE RACH procedure. Such information enable optimization on selecting the right target cell based on the RACH performance.For Inter-RAT SHR, an IE for LTE RA related information needs to be added.</w:t>
        </w:r>
      </w:hyperlink>
    </w:p>
    <w:p w14:paraId="27302C70"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93" w:history="1">
        <w:r w:rsidR="006F63F3" w:rsidRPr="00B734A0">
          <w:rPr>
            <w:rStyle w:val="Hyperlink"/>
            <w:noProof/>
          </w:rPr>
          <w:t>Proposal 24</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 xml:space="preserve">For Inter-RAT SHR, the description for the </w:t>
        </w:r>
        <w:r w:rsidR="006F63F3" w:rsidRPr="00B734A0">
          <w:rPr>
            <w:rStyle w:val="Hyperlink"/>
            <w:rFonts w:ascii="Courier New" w:hAnsi="Courier New" w:cs="Courier New"/>
            <w:noProof/>
          </w:rPr>
          <w:t>c-RNTI-r17</w:t>
        </w:r>
        <w:r w:rsidR="006F63F3" w:rsidRPr="00B734A0">
          <w:rPr>
            <w:rStyle w:val="Hyperlink"/>
            <w:noProof/>
          </w:rPr>
          <w:t xml:space="preserve"> IE needs to be updated so it refers to the source cell instead of the target cell.</w:t>
        </w:r>
      </w:hyperlink>
    </w:p>
    <w:p w14:paraId="7E258143"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94" w:history="1">
        <w:r w:rsidR="006F63F3" w:rsidRPr="00B734A0">
          <w:rPr>
            <w:rStyle w:val="Hyperlink"/>
            <w:noProof/>
          </w:rPr>
          <w:t>Proposal 25</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noProof/>
          </w:rPr>
          <w:t>Intra-NR SHR to include the time between report generation and report fetching.</w:t>
        </w:r>
      </w:hyperlink>
    </w:p>
    <w:p w14:paraId="7FDCF537"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95" w:history="1">
        <w:r w:rsidR="006F63F3" w:rsidRPr="00B734A0">
          <w:rPr>
            <w:rStyle w:val="Hyperlink"/>
            <w:rFonts w:eastAsia="Arial" w:cs="Arial"/>
            <w:noProof/>
            <w:lang w:val="en-US"/>
          </w:rPr>
          <w:t>Proposal 26</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rPr>
          <w:t>UE reports the following information in SCGFailureInformation message:</w:t>
        </w:r>
      </w:hyperlink>
    </w:p>
    <w:p w14:paraId="5AB8299A"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96" w:history="1">
        <w:r w:rsidR="006F63F3" w:rsidRPr="00B734A0">
          <w:rPr>
            <w:rStyle w:val="Hyperlink"/>
            <w:rFonts w:eastAsia="Arial" w:cs="Arial"/>
            <w:noProof/>
            <w:lang w:val="en-US"/>
          </w:rPr>
          <w:t>Proposal 27</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lang w:val="en-US"/>
          </w:rPr>
          <w:t>the MCG timers such as T310 and T312 values if running,</w:t>
        </w:r>
      </w:hyperlink>
    </w:p>
    <w:p w14:paraId="6620E511"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97" w:history="1">
        <w:r w:rsidR="006F63F3" w:rsidRPr="00B734A0">
          <w:rPr>
            <w:rStyle w:val="Hyperlink"/>
            <w:rFonts w:eastAsia="Arial" w:cs="Arial"/>
            <w:noProof/>
            <w:lang w:val="en-US"/>
          </w:rPr>
          <w:t>Proposal 28</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lang w:val="en-US"/>
          </w:rPr>
          <w:t>RLC retransmission counter value at the MCG leg.</w:t>
        </w:r>
      </w:hyperlink>
    </w:p>
    <w:p w14:paraId="17009B24"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98" w:history="1">
        <w:r w:rsidR="006F63F3" w:rsidRPr="00B734A0">
          <w:rPr>
            <w:rStyle w:val="Hyperlink"/>
            <w:rFonts w:eastAsia="Arial" w:cs="Arial"/>
            <w:noProof/>
            <w:lang w:val="en-US"/>
          </w:rPr>
          <w:t>Proposal 29</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rPr>
          <w:t>UE includes time elapsed between reception of the CPC configuration and the PSCell failure in the SCGFailureInformation</w:t>
        </w:r>
      </w:hyperlink>
    </w:p>
    <w:p w14:paraId="0D4C5F04"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899" w:history="1">
        <w:r w:rsidR="006F63F3" w:rsidRPr="00B734A0">
          <w:rPr>
            <w:rStyle w:val="Hyperlink"/>
            <w:rFonts w:eastAsia="Arial" w:cs="Arial"/>
            <w:noProof/>
            <w:lang w:val="en-US"/>
          </w:rPr>
          <w:t>Proposal 30</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rPr>
          <w:t xml:space="preserve">UE includes the </w:t>
        </w:r>
        <w:r w:rsidR="006F63F3" w:rsidRPr="00B734A0">
          <w:rPr>
            <w:rStyle w:val="Hyperlink"/>
            <w:rFonts w:eastAsia="Arial" w:cs="Arial"/>
            <w:i/>
            <w:iCs/>
            <w:noProof/>
          </w:rPr>
          <w:t xml:space="preserve">perRAInfoList </w:t>
        </w:r>
        <w:r w:rsidR="006F63F3" w:rsidRPr="00B734A0">
          <w:rPr>
            <w:rStyle w:val="Hyperlink"/>
            <w:rFonts w:eastAsia="Arial" w:cs="Arial"/>
            <w:noProof/>
          </w:rPr>
          <w:t xml:space="preserve">in the SCGFailureInformation when the UE fails at SCG due to LBT failure (i.e., failureType is set to </w:t>
        </w:r>
        <w:r w:rsidR="006F63F3" w:rsidRPr="00B734A0">
          <w:rPr>
            <w:rStyle w:val="Hyperlink"/>
            <w:rFonts w:eastAsia="Arial" w:cs="Arial"/>
            <w:i/>
            <w:iCs/>
            <w:noProof/>
          </w:rPr>
          <w:t>scg-lbtFailure</w:t>
        </w:r>
        <w:r w:rsidR="006F63F3" w:rsidRPr="00B734A0">
          <w:rPr>
            <w:rStyle w:val="Hyperlink"/>
            <w:rFonts w:eastAsia="Arial" w:cs="Arial"/>
            <w:noProof/>
          </w:rPr>
          <w:t>).</w:t>
        </w:r>
      </w:hyperlink>
    </w:p>
    <w:p w14:paraId="45E5D300"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900" w:history="1">
        <w:r w:rsidR="006F63F3" w:rsidRPr="00B734A0">
          <w:rPr>
            <w:rStyle w:val="Hyperlink"/>
            <w:rFonts w:eastAsia="Arial" w:cs="Arial"/>
            <w:noProof/>
            <w:lang w:val="en-US"/>
          </w:rPr>
          <w:t>Proposal 31</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rPr>
          <w:t>Upon MCG recovery failure due to SCG failure UE is enabled to log any possible SCG failure type as MCG recovery failure cause in the RLF report.</w:t>
        </w:r>
      </w:hyperlink>
    </w:p>
    <w:p w14:paraId="1CDC89D5"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901" w:history="1">
        <w:r w:rsidR="006F63F3" w:rsidRPr="00B734A0">
          <w:rPr>
            <w:rStyle w:val="Hyperlink"/>
            <w:rFonts w:eastAsia="Arial" w:cs="Arial"/>
            <w:noProof/>
            <w:lang w:val="en-US"/>
          </w:rPr>
          <w:t>Proposal 32</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rPr>
          <w:t>UE includes the RA replated information performed toward the SCG (perRAInfoList-SCG) at the time of fast MCG recovery failure in the RLF report.</w:t>
        </w:r>
      </w:hyperlink>
    </w:p>
    <w:p w14:paraId="53A07A42"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902" w:history="1">
        <w:r w:rsidR="006F63F3" w:rsidRPr="00B734A0">
          <w:rPr>
            <w:rStyle w:val="Hyperlink"/>
            <w:rFonts w:eastAsia="Arial" w:cs="Arial"/>
            <w:noProof/>
            <w:lang w:val="en-US"/>
          </w:rPr>
          <w:t>Proposal 33</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lang w:val="en-US"/>
          </w:rPr>
          <w:t>UE includes measResultSCG-Failure in the RLF report, if fast MCG recovery procedure fails due to the SCG failure.</w:t>
        </w:r>
      </w:hyperlink>
    </w:p>
    <w:p w14:paraId="4E7F1390"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903" w:history="1">
        <w:r w:rsidR="006F63F3" w:rsidRPr="00B734A0">
          <w:rPr>
            <w:rStyle w:val="Hyperlink"/>
            <w:rFonts w:eastAsia="Arial" w:cs="Arial"/>
            <w:noProof/>
            <w:lang w:val="en-US"/>
          </w:rPr>
          <w:t>Proposal 34</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rPr>
          <w:t>The UE logs indication of RLM/BFD relaxation in the failure report if RLM/BFD relaxation was applied at the time of MCG failure or SCG failures.</w:t>
        </w:r>
      </w:hyperlink>
    </w:p>
    <w:p w14:paraId="7C1E5021"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904" w:history="1">
        <w:r w:rsidR="006F63F3" w:rsidRPr="00B734A0">
          <w:rPr>
            <w:rStyle w:val="Hyperlink"/>
            <w:rFonts w:eastAsia="Arial" w:cs="Arial"/>
            <w:noProof/>
            <w:lang w:val="en-US"/>
          </w:rPr>
          <w:t>Proposal 35</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lang w:val="en-US"/>
          </w:rPr>
          <w:t>UE does not delete the RLF report upon successful MCG recovery</w:t>
        </w:r>
        <w:r w:rsidR="006F63F3" w:rsidRPr="00B734A0">
          <w:rPr>
            <w:rStyle w:val="Hyperlink"/>
            <w:rFonts w:eastAsia="Arial" w:cs="Arial"/>
            <w:noProof/>
          </w:rPr>
          <w:t>.</w:t>
        </w:r>
      </w:hyperlink>
    </w:p>
    <w:p w14:paraId="31F4F381"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905" w:history="1">
        <w:r w:rsidR="006F63F3" w:rsidRPr="00B734A0">
          <w:rPr>
            <w:rStyle w:val="Hyperlink"/>
            <w:rFonts w:eastAsia="Arial" w:cs="Arial"/>
            <w:noProof/>
            <w:lang w:val="en-US"/>
          </w:rPr>
          <w:t>Proposal 36</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rPr>
          <w:t>UE logs the following time information for the fast MCG recovery.</w:t>
        </w:r>
      </w:hyperlink>
    </w:p>
    <w:p w14:paraId="1D2E7CE6"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906" w:history="1">
        <w:r w:rsidR="006F63F3" w:rsidRPr="00B734A0">
          <w:rPr>
            <w:rStyle w:val="Hyperlink"/>
            <w:rFonts w:eastAsia="Arial" w:cs="Arial"/>
            <w:noProof/>
            <w:lang w:val="en-US"/>
          </w:rPr>
          <w:t>a.</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lang w:val="en-US"/>
          </w:rPr>
          <w:t>T316 running value (i.e., recovery time), always</w:t>
        </w:r>
      </w:hyperlink>
    </w:p>
    <w:p w14:paraId="1B7A3FA6"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907" w:history="1">
        <w:r w:rsidR="006F63F3" w:rsidRPr="00B734A0">
          <w:rPr>
            <w:rStyle w:val="Hyperlink"/>
            <w:rFonts w:eastAsia="Arial" w:cs="Arial"/>
            <w:noProof/>
            <w:lang w:val="en-US"/>
          </w:rPr>
          <w:t>b.</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lang w:val="en-US"/>
          </w:rPr>
          <w:t>T316 configured value, only if recovery is successful</w:t>
        </w:r>
      </w:hyperlink>
    </w:p>
    <w:p w14:paraId="3BE890B5"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908" w:history="1">
        <w:r w:rsidR="006F63F3" w:rsidRPr="00B734A0">
          <w:rPr>
            <w:rStyle w:val="Hyperlink"/>
            <w:rFonts w:eastAsia="Arial" w:cs="Arial"/>
            <w:noProof/>
            <w:lang w:val="en-US"/>
          </w:rPr>
          <w:t>c.</w:t>
        </w:r>
      </w:hyperlink>
    </w:p>
    <w:p w14:paraId="64043B94" w14:textId="77777777" w:rsidR="006F63F3" w:rsidRDefault="00000000">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34720909" w:history="1">
        <w:r w:rsidR="006F63F3" w:rsidRPr="00B734A0">
          <w:rPr>
            <w:rStyle w:val="Hyperlink"/>
            <w:rFonts w:eastAsia="Arial" w:cs="Arial"/>
            <w:noProof/>
            <w:lang w:val="en-US"/>
          </w:rPr>
          <w:t>Proposal 37</w:t>
        </w:r>
        <w:r w:rsidR="006F63F3">
          <w:rPr>
            <w:rFonts w:asciiTheme="minorHAnsi" w:eastAsiaTheme="minorEastAsia" w:hAnsiTheme="minorHAnsi" w:cstheme="minorBidi"/>
            <w:b w:val="0"/>
            <w:noProof/>
            <w:kern w:val="2"/>
            <w:sz w:val="24"/>
            <w:szCs w:val="24"/>
            <w:lang w:val="en-US" w:eastAsia="en-GB"/>
            <w14:ligatures w14:val="standardContextual"/>
          </w:rPr>
          <w:tab/>
        </w:r>
        <w:r w:rsidR="006F63F3" w:rsidRPr="00B734A0">
          <w:rPr>
            <w:rStyle w:val="Hyperlink"/>
            <w:rFonts w:eastAsia="Arial" w:cs="Arial"/>
            <w:noProof/>
          </w:rPr>
          <w:t>The UE logs and reports the SCG RLF supervision timers’ status e.g., SCG associated T310 and T312 timers’ value in the MCGFailureInformation (i.e., indicating if the SCG RLF timers (SCG T310/T312) are running)</w:t>
        </w:r>
      </w:hyperlink>
    </w:p>
    <w:p w14:paraId="79ED7827" w14:textId="7E26DD85" w:rsidR="001C1A34" w:rsidRDefault="001C1A34" w:rsidP="0052618D">
      <w:pPr>
        <w:pStyle w:val="Heading1"/>
        <w:jc w:val="both"/>
      </w:pPr>
      <w:r w:rsidRPr="2BFCE5CC">
        <w:rPr>
          <w:rFonts w:cs="Arial"/>
          <w:b/>
          <w:bCs/>
          <w:lang w:val="en-US"/>
        </w:rPr>
        <w:fldChar w:fldCharType="end"/>
      </w:r>
      <w:r w:rsidR="063D949C" w:rsidRPr="0052618D">
        <w:t>References</w:t>
      </w:r>
    </w:p>
    <w:p w14:paraId="3420E6C9" w14:textId="5867C174" w:rsidR="001C1A34" w:rsidRDefault="02B345DC" w:rsidP="26ED4266">
      <w:pPr>
        <w:pStyle w:val="Reference"/>
        <w:numPr>
          <w:ilvl w:val="0"/>
          <w:numId w:val="0"/>
        </w:numPr>
      </w:pPr>
      <w:r>
        <w:t xml:space="preserve">[1] </w:t>
      </w:r>
      <w:r w:rsidR="063D949C">
        <w:t xml:space="preserve">R3-230992, LS on MRO for CPC and CPA and fast MCG recovery, RAN3, Meeting #119, 27 Feb –03 Mar, 2023  </w:t>
      </w:r>
    </w:p>
    <w:sectPr w:rsidR="001C1A34" w:rsidSect="003F7E9A">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宋体"/>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A5C6466"/>
    <w:lvl w:ilvl="0">
      <w:start w:val="1"/>
      <w:numFmt w:val="decimal"/>
      <w:pStyle w:val="ListNumber"/>
      <w:lvlText w:val="%1."/>
      <w:lvlJc w:val="left"/>
      <w:pPr>
        <w:tabs>
          <w:tab w:val="num" w:pos="360"/>
        </w:tabs>
        <w:ind w:left="360" w:hanging="360"/>
      </w:pPr>
    </w:lvl>
  </w:abstractNum>
  <w:abstractNum w:abstractNumId="1" w15:restartNumberingAfterBreak="0">
    <w:nsid w:val="0096792F"/>
    <w:multiLevelType w:val="hybridMultilevel"/>
    <w:tmpl w:val="FFFFFFFF"/>
    <w:lvl w:ilvl="0" w:tplc="F68AB26A">
      <w:start w:val="1"/>
      <w:numFmt w:val="bullet"/>
      <w:lvlText w:val="-"/>
      <w:lvlJc w:val="left"/>
      <w:pPr>
        <w:ind w:left="720" w:hanging="360"/>
      </w:pPr>
      <w:rPr>
        <w:rFonts w:ascii="Symbol" w:hAnsi="Symbol" w:hint="default"/>
      </w:rPr>
    </w:lvl>
    <w:lvl w:ilvl="1" w:tplc="3FA644DC">
      <w:start w:val="1"/>
      <w:numFmt w:val="bullet"/>
      <w:lvlText w:val="o"/>
      <w:lvlJc w:val="left"/>
      <w:pPr>
        <w:ind w:left="1440" w:hanging="360"/>
      </w:pPr>
      <w:rPr>
        <w:rFonts w:ascii="Courier New" w:hAnsi="Courier New" w:hint="default"/>
      </w:rPr>
    </w:lvl>
    <w:lvl w:ilvl="2" w:tplc="10DAEC7C">
      <w:start w:val="1"/>
      <w:numFmt w:val="bullet"/>
      <w:lvlText w:val=""/>
      <w:lvlJc w:val="left"/>
      <w:pPr>
        <w:ind w:left="2160" w:hanging="360"/>
      </w:pPr>
      <w:rPr>
        <w:rFonts w:ascii="Wingdings" w:hAnsi="Wingdings" w:hint="default"/>
      </w:rPr>
    </w:lvl>
    <w:lvl w:ilvl="3" w:tplc="06EA863A">
      <w:start w:val="1"/>
      <w:numFmt w:val="bullet"/>
      <w:lvlText w:val=""/>
      <w:lvlJc w:val="left"/>
      <w:pPr>
        <w:ind w:left="2880" w:hanging="360"/>
      </w:pPr>
      <w:rPr>
        <w:rFonts w:ascii="Symbol" w:hAnsi="Symbol" w:hint="default"/>
      </w:rPr>
    </w:lvl>
    <w:lvl w:ilvl="4" w:tplc="E5C43140">
      <w:start w:val="1"/>
      <w:numFmt w:val="bullet"/>
      <w:lvlText w:val="o"/>
      <w:lvlJc w:val="left"/>
      <w:pPr>
        <w:ind w:left="3600" w:hanging="360"/>
      </w:pPr>
      <w:rPr>
        <w:rFonts w:ascii="Courier New" w:hAnsi="Courier New" w:hint="default"/>
      </w:rPr>
    </w:lvl>
    <w:lvl w:ilvl="5" w:tplc="D126334E">
      <w:start w:val="1"/>
      <w:numFmt w:val="bullet"/>
      <w:lvlText w:val=""/>
      <w:lvlJc w:val="left"/>
      <w:pPr>
        <w:ind w:left="4320" w:hanging="360"/>
      </w:pPr>
      <w:rPr>
        <w:rFonts w:ascii="Wingdings" w:hAnsi="Wingdings" w:hint="default"/>
      </w:rPr>
    </w:lvl>
    <w:lvl w:ilvl="6" w:tplc="AF444AC8">
      <w:start w:val="1"/>
      <w:numFmt w:val="bullet"/>
      <w:lvlText w:val=""/>
      <w:lvlJc w:val="left"/>
      <w:pPr>
        <w:ind w:left="5040" w:hanging="360"/>
      </w:pPr>
      <w:rPr>
        <w:rFonts w:ascii="Symbol" w:hAnsi="Symbol" w:hint="default"/>
      </w:rPr>
    </w:lvl>
    <w:lvl w:ilvl="7" w:tplc="4E7C79F8">
      <w:start w:val="1"/>
      <w:numFmt w:val="bullet"/>
      <w:lvlText w:val="o"/>
      <w:lvlJc w:val="left"/>
      <w:pPr>
        <w:ind w:left="5760" w:hanging="360"/>
      </w:pPr>
      <w:rPr>
        <w:rFonts w:ascii="Courier New" w:hAnsi="Courier New" w:hint="default"/>
      </w:rPr>
    </w:lvl>
    <w:lvl w:ilvl="8" w:tplc="7D862614">
      <w:start w:val="1"/>
      <w:numFmt w:val="bullet"/>
      <w:lvlText w:val=""/>
      <w:lvlJc w:val="left"/>
      <w:pPr>
        <w:ind w:left="6480" w:hanging="360"/>
      </w:pPr>
      <w:rPr>
        <w:rFonts w:ascii="Wingdings" w:hAnsi="Wingdings" w:hint="default"/>
      </w:rPr>
    </w:lvl>
  </w:abstractNum>
  <w:abstractNum w:abstractNumId="2" w15:restartNumberingAfterBreak="0">
    <w:nsid w:val="00A01D7F"/>
    <w:multiLevelType w:val="hybridMultilevel"/>
    <w:tmpl w:val="73562DE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609BEA3"/>
    <w:multiLevelType w:val="hybridMultilevel"/>
    <w:tmpl w:val="FFFFFFFF"/>
    <w:lvl w:ilvl="0" w:tplc="48BA9892">
      <w:start w:val="2"/>
      <w:numFmt w:val="decimal"/>
      <w:lvlText w:val="2.%1"/>
      <w:lvlJc w:val="left"/>
      <w:pPr>
        <w:ind w:left="360" w:hanging="360"/>
      </w:pPr>
      <w:rPr>
        <w:rFonts w:ascii="Arial" w:hAnsi="Arial" w:hint="default"/>
      </w:rPr>
    </w:lvl>
    <w:lvl w:ilvl="1" w:tplc="C3064D74">
      <w:start w:val="1"/>
      <w:numFmt w:val="lowerLetter"/>
      <w:lvlText w:val="%2."/>
      <w:lvlJc w:val="left"/>
      <w:pPr>
        <w:ind w:left="1440" w:hanging="360"/>
      </w:pPr>
    </w:lvl>
    <w:lvl w:ilvl="2" w:tplc="E9249276">
      <w:start w:val="1"/>
      <w:numFmt w:val="lowerRoman"/>
      <w:lvlText w:val="%3."/>
      <w:lvlJc w:val="right"/>
      <w:pPr>
        <w:ind w:left="2160" w:hanging="180"/>
      </w:pPr>
    </w:lvl>
    <w:lvl w:ilvl="3" w:tplc="1C1E30CA">
      <w:start w:val="1"/>
      <w:numFmt w:val="decimal"/>
      <w:lvlText w:val="%4."/>
      <w:lvlJc w:val="left"/>
      <w:pPr>
        <w:ind w:left="2880" w:hanging="360"/>
      </w:pPr>
    </w:lvl>
    <w:lvl w:ilvl="4" w:tplc="282A4566">
      <w:start w:val="1"/>
      <w:numFmt w:val="lowerLetter"/>
      <w:lvlText w:val="%5."/>
      <w:lvlJc w:val="left"/>
      <w:pPr>
        <w:ind w:left="3600" w:hanging="360"/>
      </w:pPr>
    </w:lvl>
    <w:lvl w:ilvl="5" w:tplc="C65C39D0">
      <w:start w:val="1"/>
      <w:numFmt w:val="lowerRoman"/>
      <w:lvlText w:val="%6."/>
      <w:lvlJc w:val="right"/>
      <w:pPr>
        <w:ind w:left="4320" w:hanging="180"/>
      </w:pPr>
    </w:lvl>
    <w:lvl w:ilvl="6" w:tplc="5EDCB568">
      <w:start w:val="1"/>
      <w:numFmt w:val="decimal"/>
      <w:lvlText w:val="%7."/>
      <w:lvlJc w:val="left"/>
      <w:pPr>
        <w:ind w:left="5040" w:hanging="360"/>
      </w:pPr>
    </w:lvl>
    <w:lvl w:ilvl="7" w:tplc="ECBA356A">
      <w:start w:val="1"/>
      <w:numFmt w:val="lowerLetter"/>
      <w:lvlText w:val="%8."/>
      <w:lvlJc w:val="left"/>
      <w:pPr>
        <w:ind w:left="5760" w:hanging="360"/>
      </w:pPr>
    </w:lvl>
    <w:lvl w:ilvl="8" w:tplc="751C4FE2">
      <w:start w:val="1"/>
      <w:numFmt w:val="lowerRoman"/>
      <w:lvlText w:val="%9."/>
      <w:lvlJc w:val="right"/>
      <w:pPr>
        <w:ind w:left="6480" w:hanging="180"/>
      </w:pPr>
    </w:lvl>
  </w:abstractNum>
  <w:abstractNum w:abstractNumId="4" w15:restartNumberingAfterBreak="0">
    <w:nsid w:val="0672B131"/>
    <w:multiLevelType w:val="hybridMultilevel"/>
    <w:tmpl w:val="FFFFFFFF"/>
    <w:lvl w:ilvl="0" w:tplc="504604BC">
      <w:start w:val="1"/>
      <w:numFmt w:val="bullet"/>
      <w:lvlText w:val="-"/>
      <w:lvlJc w:val="left"/>
      <w:pPr>
        <w:ind w:left="720" w:hanging="360"/>
      </w:pPr>
      <w:rPr>
        <w:rFonts w:ascii="Symbol" w:hAnsi="Symbol" w:hint="default"/>
      </w:rPr>
    </w:lvl>
    <w:lvl w:ilvl="1" w:tplc="ECCE2D24">
      <w:start w:val="1"/>
      <w:numFmt w:val="bullet"/>
      <w:lvlText w:val="o"/>
      <w:lvlJc w:val="left"/>
      <w:pPr>
        <w:ind w:left="1440" w:hanging="360"/>
      </w:pPr>
      <w:rPr>
        <w:rFonts w:ascii="Courier New" w:hAnsi="Courier New" w:hint="default"/>
      </w:rPr>
    </w:lvl>
    <w:lvl w:ilvl="2" w:tplc="0810886A">
      <w:start w:val="1"/>
      <w:numFmt w:val="bullet"/>
      <w:lvlText w:val=""/>
      <w:lvlJc w:val="left"/>
      <w:pPr>
        <w:ind w:left="2160" w:hanging="360"/>
      </w:pPr>
      <w:rPr>
        <w:rFonts w:ascii="Wingdings" w:hAnsi="Wingdings" w:hint="default"/>
      </w:rPr>
    </w:lvl>
    <w:lvl w:ilvl="3" w:tplc="D542E744">
      <w:start w:val="1"/>
      <w:numFmt w:val="bullet"/>
      <w:lvlText w:val=""/>
      <w:lvlJc w:val="left"/>
      <w:pPr>
        <w:ind w:left="2880" w:hanging="360"/>
      </w:pPr>
      <w:rPr>
        <w:rFonts w:ascii="Symbol" w:hAnsi="Symbol" w:hint="default"/>
      </w:rPr>
    </w:lvl>
    <w:lvl w:ilvl="4" w:tplc="A00A1A60">
      <w:start w:val="1"/>
      <w:numFmt w:val="bullet"/>
      <w:lvlText w:val="o"/>
      <w:lvlJc w:val="left"/>
      <w:pPr>
        <w:ind w:left="3600" w:hanging="360"/>
      </w:pPr>
      <w:rPr>
        <w:rFonts w:ascii="Courier New" w:hAnsi="Courier New" w:hint="default"/>
      </w:rPr>
    </w:lvl>
    <w:lvl w:ilvl="5" w:tplc="40D23F74">
      <w:start w:val="1"/>
      <w:numFmt w:val="bullet"/>
      <w:lvlText w:val=""/>
      <w:lvlJc w:val="left"/>
      <w:pPr>
        <w:ind w:left="4320" w:hanging="360"/>
      </w:pPr>
      <w:rPr>
        <w:rFonts w:ascii="Wingdings" w:hAnsi="Wingdings" w:hint="default"/>
      </w:rPr>
    </w:lvl>
    <w:lvl w:ilvl="6" w:tplc="CFF81BB4">
      <w:start w:val="1"/>
      <w:numFmt w:val="bullet"/>
      <w:lvlText w:val=""/>
      <w:lvlJc w:val="left"/>
      <w:pPr>
        <w:ind w:left="5040" w:hanging="360"/>
      </w:pPr>
      <w:rPr>
        <w:rFonts w:ascii="Symbol" w:hAnsi="Symbol" w:hint="default"/>
      </w:rPr>
    </w:lvl>
    <w:lvl w:ilvl="7" w:tplc="37DC6308">
      <w:start w:val="1"/>
      <w:numFmt w:val="bullet"/>
      <w:lvlText w:val="o"/>
      <w:lvlJc w:val="left"/>
      <w:pPr>
        <w:ind w:left="5760" w:hanging="360"/>
      </w:pPr>
      <w:rPr>
        <w:rFonts w:ascii="Courier New" w:hAnsi="Courier New" w:hint="default"/>
      </w:rPr>
    </w:lvl>
    <w:lvl w:ilvl="8" w:tplc="95A6A21C">
      <w:start w:val="1"/>
      <w:numFmt w:val="bullet"/>
      <w:lvlText w:val=""/>
      <w:lvlJc w:val="left"/>
      <w:pPr>
        <w:ind w:left="6480" w:hanging="360"/>
      </w:pPr>
      <w:rPr>
        <w:rFonts w:ascii="Wingdings" w:hAnsi="Wingdings" w:hint="default"/>
      </w:rPr>
    </w:lvl>
  </w:abstractNum>
  <w:abstractNum w:abstractNumId="5" w15:restartNumberingAfterBreak="0">
    <w:nsid w:val="0F59122D"/>
    <w:multiLevelType w:val="hybridMultilevel"/>
    <w:tmpl w:val="FFFFFFFF"/>
    <w:lvl w:ilvl="0" w:tplc="EE6643E0">
      <w:start w:val="2"/>
      <w:numFmt w:val="decimal"/>
      <w:lvlText w:val="Proposal %1"/>
      <w:lvlJc w:val="left"/>
      <w:pPr>
        <w:ind w:left="1304" w:hanging="1304"/>
      </w:pPr>
      <w:rPr>
        <w:rFonts w:ascii="Calibri" w:hAnsi="Calibri" w:hint="default"/>
      </w:rPr>
    </w:lvl>
    <w:lvl w:ilvl="1" w:tplc="539E3D68">
      <w:start w:val="1"/>
      <w:numFmt w:val="lowerLetter"/>
      <w:lvlText w:val="%2."/>
      <w:lvlJc w:val="left"/>
      <w:pPr>
        <w:ind w:left="1440" w:hanging="360"/>
      </w:pPr>
    </w:lvl>
    <w:lvl w:ilvl="2" w:tplc="2E3ADF52">
      <w:start w:val="1"/>
      <w:numFmt w:val="lowerRoman"/>
      <w:lvlText w:val="%3."/>
      <w:lvlJc w:val="right"/>
      <w:pPr>
        <w:ind w:left="2160" w:hanging="180"/>
      </w:pPr>
    </w:lvl>
    <w:lvl w:ilvl="3" w:tplc="FB42D174">
      <w:start w:val="1"/>
      <w:numFmt w:val="decimal"/>
      <w:lvlText w:val="%4."/>
      <w:lvlJc w:val="left"/>
      <w:pPr>
        <w:ind w:left="2880" w:hanging="360"/>
      </w:pPr>
    </w:lvl>
    <w:lvl w:ilvl="4" w:tplc="DC58AC8C">
      <w:start w:val="1"/>
      <w:numFmt w:val="lowerLetter"/>
      <w:lvlText w:val="%5."/>
      <w:lvlJc w:val="left"/>
      <w:pPr>
        <w:ind w:left="3600" w:hanging="360"/>
      </w:pPr>
    </w:lvl>
    <w:lvl w:ilvl="5" w:tplc="1CA2F3B6">
      <w:start w:val="1"/>
      <w:numFmt w:val="lowerRoman"/>
      <w:lvlText w:val="%6."/>
      <w:lvlJc w:val="right"/>
      <w:pPr>
        <w:ind w:left="4320" w:hanging="180"/>
      </w:pPr>
    </w:lvl>
    <w:lvl w:ilvl="6" w:tplc="1414BC14">
      <w:start w:val="1"/>
      <w:numFmt w:val="decimal"/>
      <w:lvlText w:val="%7."/>
      <w:lvlJc w:val="left"/>
      <w:pPr>
        <w:ind w:left="5040" w:hanging="360"/>
      </w:pPr>
    </w:lvl>
    <w:lvl w:ilvl="7" w:tplc="E5EC50FA">
      <w:start w:val="1"/>
      <w:numFmt w:val="lowerLetter"/>
      <w:lvlText w:val="%8."/>
      <w:lvlJc w:val="left"/>
      <w:pPr>
        <w:ind w:left="5760" w:hanging="360"/>
      </w:pPr>
    </w:lvl>
    <w:lvl w:ilvl="8" w:tplc="E7148116">
      <w:start w:val="1"/>
      <w:numFmt w:val="lowerRoman"/>
      <w:lvlText w:val="%9."/>
      <w:lvlJc w:val="right"/>
      <w:pPr>
        <w:ind w:left="6480" w:hanging="180"/>
      </w:pPr>
    </w:lvl>
  </w:abstractNum>
  <w:abstractNum w:abstractNumId="6" w15:restartNumberingAfterBreak="0">
    <w:nsid w:val="15F510EB"/>
    <w:multiLevelType w:val="hybridMultilevel"/>
    <w:tmpl w:val="FFFFFFFF"/>
    <w:lvl w:ilvl="0" w:tplc="11927CC6">
      <w:start w:val="1"/>
      <w:numFmt w:val="decimal"/>
      <w:lvlText w:val="2.%1"/>
      <w:lvlJc w:val="left"/>
      <w:pPr>
        <w:ind w:left="360" w:hanging="360"/>
      </w:pPr>
      <w:rPr>
        <w:rFonts w:ascii="Arial" w:hAnsi="Arial" w:hint="default"/>
      </w:rPr>
    </w:lvl>
    <w:lvl w:ilvl="1" w:tplc="59FEDA36">
      <w:start w:val="1"/>
      <w:numFmt w:val="lowerLetter"/>
      <w:lvlText w:val="%2."/>
      <w:lvlJc w:val="left"/>
      <w:pPr>
        <w:ind w:left="1440" w:hanging="360"/>
      </w:pPr>
    </w:lvl>
    <w:lvl w:ilvl="2" w:tplc="D9787CB8">
      <w:start w:val="1"/>
      <w:numFmt w:val="lowerRoman"/>
      <w:lvlText w:val="%3."/>
      <w:lvlJc w:val="right"/>
      <w:pPr>
        <w:ind w:left="2160" w:hanging="180"/>
      </w:pPr>
    </w:lvl>
    <w:lvl w:ilvl="3" w:tplc="1FA8F84E">
      <w:start w:val="1"/>
      <w:numFmt w:val="decimal"/>
      <w:lvlText w:val="%4."/>
      <w:lvlJc w:val="left"/>
      <w:pPr>
        <w:ind w:left="2880" w:hanging="360"/>
      </w:pPr>
    </w:lvl>
    <w:lvl w:ilvl="4" w:tplc="63C880FE">
      <w:start w:val="1"/>
      <w:numFmt w:val="lowerLetter"/>
      <w:lvlText w:val="%5."/>
      <w:lvlJc w:val="left"/>
      <w:pPr>
        <w:ind w:left="3600" w:hanging="360"/>
      </w:pPr>
    </w:lvl>
    <w:lvl w:ilvl="5" w:tplc="0F382486">
      <w:start w:val="1"/>
      <w:numFmt w:val="lowerRoman"/>
      <w:lvlText w:val="%6."/>
      <w:lvlJc w:val="right"/>
      <w:pPr>
        <w:ind w:left="4320" w:hanging="180"/>
      </w:pPr>
    </w:lvl>
    <w:lvl w:ilvl="6" w:tplc="AE6E59AC">
      <w:start w:val="1"/>
      <w:numFmt w:val="decimal"/>
      <w:lvlText w:val="%7."/>
      <w:lvlJc w:val="left"/>
      <w:pPr>
        <w:ind w:left="5040" w:hanging="360"/>
      </w:pPr>
    </w:lvl>
    <w:lvl w:ilvl="7" w:tplc="71089AF2">
      <w:start w:val="1"/>
      <w:numFmt w:val="lowerLetter"/>
      <w:lvlText w:val="%8."/>
      <w:lvlJc w:val="left"/>
      <w:pPr>
        <w:ind w:left="5760" w:hanging="360"/>
      </w:pPr>
    </w:lvl>
    <w:lvl w:ilvl="8" w:tplc="CDE0BF7A">
      <w:start w:val="1"/>
      <w:numFmt w:val="lowerRoman"/>
      <w:lvlText w:val="%9."/>
      <w:lvlJc w:val="right"/>
      <w:pPr>
        <w:ind w:left="6480" w:hanging="180"/>
      </w:pPr>
    </w:lvl>
  </w:abstractNum>
  <w:abstractNum w:abstractNumId="7" w15:restartNumberingAfterBreak="0">
    <w:nsid w:val="160A25A6"/>
    <w:multiLevelType w:val="hybridMultilevel"/>
    <w:tmpl w:val="5E1255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B144AC"/>
    <w:multiLevelType w:val="hybridMultilevel"/>
    <w:tmpl w:val="FFFFFFFF"/>
    <w:lvl w:ilvl="0" w:tplc="7BB8E996">
      <w:start w:val="10"/>
      <w:numFmt w:val="decimal"/>
      <w:lvlText w:val="Proposal %1"/>
      <w:lvlJc w:val="left"/>
      <w:pPr>
        <w:ind w:left="1304" w:hanging="1304"/>
      </w:pPr>
      <w:rPr>
        <w:rFonts w:ascii="Calibri" w:hAnsi="Calibri" w:hint="default"/>
      </w:rPr>
    </w:lvl>
    <w:lvl w:ilvl="1" w:tplc="B6600BF6">
      <w:start w:val="1"/>
      <w:numFmt w:val="lowerLetter"/>
      <w:lvlText w:val="%2."/>
      <w:lvlJc w:val="left"/>
      <w:pPr>
        <w:ind w:left="1440" w:hanging="360"/>
      </w:pPr>
    </w:lvl>
    <w:lvl w:ilvl="2" w:tplc="47EA3B0A">
      <w:start w:val="1"/>
      <w:numFmt w:val="lowerRoman"/>
      <w:lvlText w:val="%3."/>
      <w:lvlJc w:val="right"/>
      <w:pPr>
        <w:ind w:left="2160" w:hanging="180"/>
      </w:pPr>
    </w:lvl>
    <w:lvl w:ilvl="3" w:tplc="3A74EE1C">
      <w:start w:val="1"/>
      <w:numFmt w:val="decimal"/>
      <w:lvlText w:val="%4."/>
      <w:lvlJc w:val="left"/>
      <w:pPr>
        <w:ind w:left="2880" w:hanging="360"/>
      </w:pPr>
    </w:lvl>
    <w:lvl w:ilvl="4" w:tplc="603C5E28">
      <w:start w:val="1"/>
      <w:numFmt w:val="lowerLetter"/>
      <w:lvlText w:val="%5."/>
      <w:lvlJc w:val="left"/>
      <w:pPr>
        <w:ind w:left="3600" w:hanging="360"/>
      </w:pPr>
    </w:lvl>
    <w:lvl w:ilvl="5" w:tplc="8B68B898">
      <w:start w:val="1"/>
      <w:numFmt w:val="lowerRoman"/>
      <w:lvlText w:val="%6."/>
      <w:lvlJc w:val="right"/>
      <w:pPr>
        <w:ind w:left="4320" w:hanging="180"/>
      </w:pPr>
    </w:lvl>
    <w:lvl w:ilvl="6" w:tplc="18EA0DB0">
      <w:start w:val="1"/>
      <w:numFmt w:val="decimal"/>
      <w:lvlText w:val="%7."/>
      <w:lvlJc w:val="left"/>
      <w:pPr>
        <w:ind w:left="5040" w:hanging="360"/>
      </w:pPr>
    </w:lvl>
    <w:lvl w:ilvl="7" w:tplc="901E7396">
      <w:start w:val="1"/>
      <w:numFmt w:val="lowerLetter"/>
      <w:lvlText w:val="%8."/>
      <w:lvlJc w:val="left"/>
      <w:pPr>
        <w:ind w:left="5760" w:hanging="360"/>
      </w:pPr>
    </w:lvl>
    <w:lvl w:ilvl="8" w:tplc="D458F51E">
      <w:start w:val="1"/>
      <w:numFmt w:val="lowerRoman"/>
      <w:lvlText w:val="%9."/>
      <w:lvlJc w:val="right"/>
      <w:pPr>
        <w:ind w:left="6480" w:hanging="180"/>
      </w:pPr>
    </w:lvl>
  </w:abstractNum>
  <w:abstractNum w:abstractNumId="9" w15:restartNumberingAfterBreak="0">
    <w:nsid w:val="211D9C8F"/>
    <w:multiLevelType w:val="hybridMultilevel"/>
    <w:tmpl w:val="FFFFFFFF"/>
    <w:lvl w:ilvl="0" w:tplc="577EFF70">
      <w:start w:val="1"/>
      <w:numFmt w:val="bullet"/>
      <w:lvlText w:val=""/>
      <w:lvlJc w:val="left"/>
      <w:pPr>
        <w:ind w:left="720" w:hanging="360"/>
      </w:pPr>
      <w:rPr>
        <w:rFonts w:ascii="Symbol" w:hAnsi="Symbol" w:hint="default"/>
      </w:rPr>
    </w:lvl>
    <w:lvl w:ilvl="1" w:tplc="F4003AB6">
      <w:start w:val="1"/>
      <w:numFmt w:val="bullet"/>
      <w:lvlText w:val="o"/>
      <w:lvlJc w:val="left"/>
      <w:pPr>
        <w:ind w:left="1440" w:hanging="360"/>
      </w:pPr>
      <w:rPr>
        <w:rFonts w:ascii="Courier New" w:hAnsi="Courier New" w:hint="default"/>
      </w:rPr>
    </w:lvl>
    <w:lvl w:ilvl="2" w:tplc="C14CF48A">
      <w:start w:val="1"/>
      <w:numFmt w:val="bullet"/>
      <w:lvlText w:val=""/>
      <w:lvlJc w:val="left"/>
      <w:pPr>
        <w:ind w:left="2160" w:hanging="360"/>
      </w:pPr>
      <w:rPr>
        <w:rFonts w:ascii="Wingdings" w:hAnsi="Wingdings" w:hint="default"/>
      </w:rPr>
    </w:lvl>
    <w:lvl w:ilvl="3" w:tplc="E192304A">
      <w:start w:val="1"/>
      <w:numFmt w:val="bullet"/>
      <w:lvlText w:val=""/>
      <w:lvlJc w:val="left"/>
      <w:pPr>
        <w:ind w:left="2880" w:hanging="360"/>
      </w:pPr>
      <w:rPr>
        <w:rFonts w:ascii="Symbol" w:hAnsi="Symbol" w:hint="default"/>
      </w:rPr>
    </w:lvl>
    <w:lvl w:ilvl="4" w:tplc="0C4ACC9A">
      <w:start w:val="1"/>
      <w:numFmt w:val="bullet"/>
      <w:lvlText w:val="o"/>
      <w:lvlJc w:val="left"/>
      <w:pPr>
        <w:ind w:left="3600" w:hanging="360"/>
      </w:pPr>
      <w:rPr>
        <w:rFonts w:ascii="Courier New" w:hAnsi="Courier New" w:hint="default"/>
      </w:rPr>
    </w:lvl>
    <w:lvl w:ilvl="5" w:tplc="D7D21EFC">
      <w:start w:val="1"/>
      <w:numFmt w:val="bullet"/>
      <w:lvlText w:val=""/>
      <w:lvlJc w:val="left"/>
      <w:pPr>
        <w:ind w:left="4320" w:hanging="360"/>
      </w:pPr>
      <w:rPr>
        <w:rFonts w:ascii="Wingdings" w:hAnsi="Wingdings" w:hint="default"/>
      </w:rPr>
    </w:lvl>
    <w:lvl w:ilvl="6" w:tplc="2DB6F9DC">
      <w:start w:val="1"/>
      <w:numFmt w:val="bullet"/>
      <w:lvlText w:val=""/>
      <w:lvlJc w:val="left"/>
      <w:pPr>
        <w:ind w:left="5040" w:hanging="360"/>
      </w:pPr>
      <w:rPr>
        <w:rFonts w:ascii="Symbol" w:hAnsi="Symbol" w:hint="default"/>
      </w:rPr>
    </w:lvl>
    <w:lvl w:ilvl="7" w:tplc="FABA755A">
      <w:start w:val="1"/>
      <w:numFmt w:val="bullet"/>
      <w:lvlText w:val="o"/>
      <w:lvlJc w:val="left"/>
      <w:pPr>
        <w:ind w:left="5760" w:hanging="360"/>
      </w:pPr>
      <w:rPr>
        <w:rFonts w:ascii="Courier New" w:hAnsi="Courier New" w:hint="default"/>
      </w:rPr>
    </w:lvl>
    <w:lvl w:ilvl="8" w:tplc="65DAF6F2">
      <w:start w:val="1"/>
      <w:numFmt w:val="bullet"/>
      <w:lvlText w:val=""/>
      <w:lvlJc w:val="left"/>
      <w:pPr>
        <w:ind w:left="6480" w:hanging="360"/>
      </w:pPr>
      <w:rPr>
        <w:rFonts w:ascii="Wingdings" w:hAnsi="Wingdings" w:hint="default"/>
      </w:rPr>
    </w:lvl>
  </w:abstractNum>
  <w:abstractNum w:abstractNumId="10" w15:restartNumberingAfterBreak="0">
    <w:nsid w:val="278A6A9A"/>
    <w:multiLevelType w:val="hybridMultilevel"/>
    <w:tmpl w:val="FFFFFFFF"/>
    <w:lvl w:ilvl="0" w:tplc="1A78DB4C">
      <w:start w:val="9"/>
      <w:numFmt w:val="decimal"/>
      <w:lvlText w:val="Proposal %1"/>
      <w:lvlJc w:val="left"/>
      <w:pPr>
        <w:ind w:left="1304" w:hanging="1304"/>
      </w:pPr>
      <w:rPr>
        <w:rFonts w:ascii="Calibri" w:hAnsi="Calibri" w:hint="default"/>
      </w:rPr>
    </w:lvl>
    <w:lvl w:ilvl="1" w:tplc="869EE53E">
      <w:start w:val="1"/>
      <w:numFmt w:val="lowerLetter"/>
      <w:lvlText w:val="%2."/>
      <w:lvlJc w:val="left"/>
      <w:pPr>
        <w:ind w:left="1440" w:hanging="360"/>
      </w:pPr>
    </w:lvl>
    <w:lvl w:ilvl="2" w:tplc="1C540D3C">
      <w:start w:val="1"/>
      <w:numFmt w:val="lowerRoman"/>
      <w:lvlText w:val="%3."/>
      <w:lvlJc w:val="right"/>
      <w:pPr>
        <w:ind w:left="2160" w:hanging="180"/>
      </w:pPr>
    </w:lvl>
    <w:lvl w:ilvl="3" w:tplc="F6EAF0BC">
      <w:start w:val="1"/>
      <w:numFmt w:val="decimal"/>
      <w:lvlText w:val="%4."/>
      <w:lvlJc w:val="left"/>
      <w:pPr>
        <w:ind w:left="2880" w:hanging="360"/>
      </w:pPr>
    </w:lvl>
    <w:lvl w:ilvl="4" w:tplc="F6F0D574">
      <w:start w:val="1"/>
      <w:numFmt w:val="lowerLetter"/>
      <w:lvlText w:val="%5."/>
      <w:lvlJc w:val="left"/>
      <w:pPr>
        <w:ind w:left="3600" w:hanging="360"/>
      </w:pPr>
    </w:lvl>
    <w:lvl w:ilvl="5" w:tplc="3B4C2F5A">
      <w:start w:val="1"/>
      <w:numFmt w:val="lowerRoman"/>
      <w:lvlText w:val="%6."/>
      <w:lvlJc w:val="right"/>
      <w:pPr>
        <w:ind w:left="4320" w:hanging="180"/>
      </w:pPr>
    </w:lvl>
    <w:lvl w:ilvl="6" w:tplc="D5628902">
      <w:start w:val="1"/>
      <w:numFmt w:val="decimal"/>
      <w:lvlText w:val="%7."/>
      <w:lvlJc w:val="left"/>
      <w:pPr>
        <w:ind w:left="5040" w:hanging="360"/>
      </w:pPr>
    </w:lvl>
    <w:lvl w:ilvl="7" w:tplc="A888EF4C">
      <w:start w:val="1"/>
      <w:numFmt w:val="lowerLetter"/>
      <w:lvlText w:val="%8."/>
      <w:lvlJc w:val="left"/>
      <w:pPr>
        <w:ind w:left="5760" w:hanging="360"/>
      </w:pPr>
    </w:lvl>
    <w:lvl w:ilvl="8" w:tplc="EEF6D3B2">
      <w:start w:val="1"/>
      <w:numFmt w:val="lowerRoman"/>
      <w:lvlText w:val="%9."/>
      <w:lvlJc w:val="right"/>
      <w:pPr>
        <w:ind w:left="6480" w:hanging="180"/>
      </w:pPr>
    </w:lvl>
  </w:abstractNum>
  <w:abstractNum w:abstractNumId="11" w15:restartNumberingAfterBreak="0">
    <w:nsid w:val="279016C8"/>
    <w:multiLevelType w:val="hybridMultilevel"/>
    <w:tmpl w:val="E0A23ACE"/>
    <w:lvl w:ilvl="0" w:tplc="5B4CC98E">
      <w:start w:val="1"/>
      <w:numFmt w:val="bullet"/>
      <w:lvlText w:val=""/>
      <w:lvlJc w:val="left"/>
      <w:pPr>
        <w:ind w:left="720" w:hanging="360"/>
      </w:pPr>
      <w:rPr>
        <w:rFonts w:ascii="Symbol" w:hAnsi="Symbol" w:hint="default"/>
      </w:rPr>
    </w:lvl>
    <w:lvl w:ilvl="1" w:tplc="0932296C">
      <w:start w:val="1"/>
      <w:numFmt w:val="bullet"/>
      <w:lvlText w:val="o"/>
      <w:lvlJc w:val="left"/>
      <w:pPr>
        <w:ind w:left="1440" w:hanging="360"/>
      </w:pPr>
      <w:rPr>
        <w:rFonts w:ascii="Courier New" w:hAnsi="Courier New" w:hint="default"/>
      </w:rPr>
    </w:lvl>
    <w:lvl w:ilvl="2" w:tplc="62BE8E72">
      <w:start w:val="1"/>
      <w:numFmt w:val="bullet"/>
      <w:lvlText w:val=""/>
      <w:lvlJc w:val="left"/>
      <w:pPr>
        <w:ind w:left="2160" w:hanging="360"/>
      </w:pPr>
      <w:rPr>
        <w:rFonts w:ascii="Wingdings" w:hAnsi="Wingdings" w:hint="default"/>
      </w:rPr>
    </w:lvl>
    <w:lvl w:ilvl="3" w:tplc="319C97E8">
      <w:start w:val="1"/>
      <w:numFmt w:val="bullet"/>
      <w:lvlText w:val=""/>
      <w:lvlJc w:val="left"/>
      <w:pPr>
        <w:ind w:left="2880" w:hanging="360"/>
      </w:pPr>
      <w:rPr>
        <w:rFonts w:ascii="Symbol" w:hAnsi="Symbol" w:hint="default"/>
      </w:rPr>
    </w:lvl>
    <w:lvl w:ilvl="4" w:tplc="380A69EC">
      <w:start w:val="1"/>
      <w:numFmt w:val="bullet"/>
      <w:lvlText w:val="o"/>
      <w:lvlJc w:val="left"/>
      <w:pPr>
        <w:ind w:left="3600" w:hanging="360"/>
      </w:pPr>
      <w:rPr>
        <w:rFonts w:ascii="Courier New" w:hAnsi="Courier New" w:hint="default"/>
      </w:rPr>
    </w:lvl>
    <w:lvl w:ilvl="5" w:tplc="129A1EC0">
      <w:start w:val="1"/>
      <w:numFmt w:val="bullet"/>
      <w:lvlText w:val=""/>
      <w:lvlJc w:val="left"/>
      <w:pPr>
        <w:ind w:left="4320" w:hanging="360"/>
      </w:pPr>
      <w:rPr>
        <w:rFonts w:ascii="Wingdings" w:hAnsi="Wingdings" w:hint="default"/>
      </w:rPr>
    </w:lvl>
    <w:lvl w:ilvl="6" w:tplc="07EA0514">
      <w:start w:val="1"/>
      <w:numFmt w:val="bullet"/>
      <w:lvlText w:val=""/>
      <w:lvlJc w:val="left"/>
      <w:pPr>
        <w:ind w:left="5040" w:hanging="360"/>
      </w:pPr>
      <w:rPr>
        <w:rFonts w:ascii="Symbol" w:hAnsi="Symbol" w:hint="default"/>
      </w:rPr>
    </w:lvl>
    <w:lvl w:ilvl="7" w:tplc="265C23CE">
      <w:start w:val="1"/>
      <w:numFmt w:val="bullet"/>
      <w:lvlText w:val="o"/>
      <w:lvlJc w:val="left"/>
      <w:pPr>
        <w:ind w:left="5760" w:hanging="360"/>
      </w:pPr>
      <w:rPr>
        <w:rFonts w:ascii="Courier New" w:hAnsi="Courier New" w:hint="default"/>
      </w:rPr>
    </w:lvl>
    <w:lvl w:ilvl="8" w:tplc="F01281F0">
      <w:start w:val="1"/>
      <w:numFmt w:val="bullet"/>
      <w:lvlText w:val=""/>
      <w:lvlJc w:val="left"/>
      <w:pPr>
        <w:ind w:left="6480" w:hanging="360"/>
      </w:pPr>
      <w:rPr>
        <w:rFonts w:ascii="Wingdings" w:hAnsi="Wingdings" w:hint="default"/>
      </w:rPr>
    </w:lvl>
  </w:abstractNum>
  <w:abstractNum w:abstractNumId="12" w15:restartNumberingAfterBreak="0">
    <w:nsid w:val="2E4D7D08"/>
    <w:multiLevelType w:val="hybridMultilevel"/>
    <w:tmpl w:val="F7B437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64971B"/>
    <w:multiLevelType w:val="hybridMultilevel"/>
    <w:tmpl w:val="FFFFFFFF"/>
    <w:lvl w:ilvl="0" w:tplc="55D09E66">
      <w:start w:val="1"/>
      <w:numFmt w:val="bullet"/>
      <w:lvlText w:val=""/>
      <w:lvlJc w:val="left"/>
      <w:pPr>
        <w:ind w:left="720" w:hanging="360"/>
      </w:pPr>
      <w:rPr>
        <w:rFonts w:ascii="Symbol" w:hAnsi="Symbol" w:hint="default"/>
      </w:rPr>
    </w:lvl>
    <w:lvl w:ilvl="1" w:tplc="16DC4778">
      <w:start w:val="1"/>
      <w:numFmt w:val="bullet"/>
      <w:lvlText w:val="o"/>
      <w:lvlJc w:val="left"/>
      <w:pPr>
        <w:ind w:left="1440" w:hanging="360"/>
      </w:pPr>
      <w:rPr>
        <w:rFonts w:ascii="Courier New" w:hAnsi="Courier New" w:hint="default"/>
      </w:rPr>
    </w:lvl>
    <w:lvl w:ilvl="2" w:tplc="16A40978">
      <w:start w:val="1"/>
      <w:numFmt w:val="bullet"/>
      <w:lvlText w:val=""/>
      <w:lvlJc w:val="left"/>
      <w:pPr>
        <w:ind w:left="2160" w:hanging="360"/>
      </w:pPr>
      <w:rPr>
        <w:rFonts w:ascii="Wingdings" w:hAnsi="Wingdings" w:hint="default"/>
      </w:rPr>
    </w:lvl>
    <w:lvl w:ilvl="3" w:tplc="C1AC7ED2">
      <w:start w:val="1"/>
      <w:numFmt w:val="bullet"/>
      <w:lvlText w:val=""/>
      <w:lvlJc w:val="left"/>
      <w:pPr>
        <w:ind w:left="2880" w:hanging="360"/>
      </w:pPr>
      <w:rPr>
        <w:rFonts w:ascii="Symbol" w:hAnsi="Symbol" w:hint="default"/>
      </w:rPr>
    </w:lvl>
    <w:lvl w:ilvl="4" w:tplc="A126AA9C">
      <w:start w:val="1"/>
      <w:numFmt w:val="bullet"/>
      <w:lvlText w:val="o"/>
      <w:lvlJc w:val="left"/>
      <w:pPr>
        <w:ind w:left="3600" w:hanging="360"/>
      </w:pPr>
      <w:rPr>
        <w:rFonts w:ascii="Courier New" w:hAnsi="Courier New" w:hint="default"/>
      </w:rPr>
    </w:lvl>
    <w:lvl w:ilvl="5" w:tplc="B4440262">
      <w:start w:val="1"/>
      <w:numFmt w:val="bullet"/>
      <w:lvlText w:val=""/>
      <w:lvlJc w:val="left"/>
      <w:pPr>
        <w:ind w:left="4320" w:hanging="360"/>
      </w:pPr>
      <w:rPr>
        <w:rFonts w:ascii="Wingdings" w:hAnsi="Wingdings" w:hint="default"/>
      </w:rPr>
    </w:lvl>
    <w:lvl w:ilvl="6" w:tplc="BB0A1920">
      <w:start w:val="1"/>
      <w:numFmt w:val="bullet"/>
      <w:lvlText w:val=""/>
      <w:lvlJc w:val="left"/>
      <w:pPr>
        <w:ind w:left="5040" w:hanging="360"/>
      </w:pPr>
      <w:rPr>
        <w:rFonts w:ascii="Symbol" w:hAnsi="Symbol" w:hint="default"/>
      </w:rPr>
    </w:lvl>
    <w:lvl w:ilvl="7" w:tplc="45AC4514">
      <w:start w:val="1"/>
      <w:numFmt w:val="bullet"/>
      <w:lvlText w:val="o"/>
      <w:lvlJc w:val="left"/>
      <w:pPr>
        <w:ind w:left="5760" w:hanging="360"/>
      </w:pPr>
      <w:rPr>
        <w:rFonts w:ascii="Courier New" w:hAnsi="Courier New" w:hint="default"/>
      </w:rPr>
    </w:lvl>
    <w:lvl w:ilvl="8" w:tplc="61E06DE6">
      <w:start w:val="1"/>
      <w:numFmt w:val="bullet"/>
      <w:lvlText w:val=""/>
      <w:lvlJc w:val="left"/>
      <w:pPr>
        <w:ind w:left="6480" w:hanging="360"/>
      </w:pPr>
      <w:rPr>
        <w:rFonts w:ascii="Wingdings" w:hAnsi="Wingdings" w:hint="default"/>
      </w:rPr>
    </w:lvl>
  </w:abstractNum>
  <w:abstractNum w:abstractNumId="14" w15:restartNumberingAfterBreak="0">
    <w:nsid w:val="349383A9"/>
    <w:multiLevelType w:val="hybridMultilevel"/>
    <w:tmpl w:val="FFFFFFFF"/>
    <w:lvl w:ilvl="0" w:tplc="CF4C2EBA">
      <w:start w:val="1"/>
      <w:numFmt w:val="bullet"/>
      <w:lvlText w:val=""/>
      <w:lvlJc w:val="left"/>
      <w:pPr>
        <w:ind w:left="720" w:hanging="360"/>
      </w:pPr>
      <w:rPr>
        <w:rFonts w:ascii="Symbol" w:hAnsi="Symbol" w:hint="default"/>
      </w:rPr>
    </w:lvl>
    <w:lvl w:ilvl="1" w:tplc="18BC3A64">
      <w:start w:val="1"/>
      <w:numFmt w:val="bullet"/>
      <w:lvlText w:val="o"/>
      <w:lvlJc w:val="left"/>
      <w:pPr>
        <w:ind w:left="1440" w:hanging="360"/>
      </w:pPr>
      <w:rPr>
        <w:rFonts w:ascii="Courier New" w:hAnsi="Courier New" w:hint="default"/>
      </w:rPr>
    </w:lvl>
    <w:lvl w:ilvl="2" w:tplc="783C21F2">
      <w:start w:val="1"/>
      <w:numFmt w:val="bullet"/>
      <w:lvlText w:val=""/>
      <w:lvlJc w:val="left"/>
      <w:pPr>
        <w:ind w:left="2160" w:hanging="360"/>
      </w:pPr>
      <w:rPr>
        <w:rFonts w:ascii="Wingdings" w:hAnsi="Wingdings" w:hint="default"/>
      </w:rPr>
    </w:lvl>
    <w:lvl w:ilvl="3" w:tplc="9208D440">
      <w:start w:val="1"/>
      <w:numFmt w:val="bullet"/>
      <w:lvlText w:val=""/>
      <w:lvlJc w:val="left"/>
      <w:pPr>
        <w:ind w:left="2880" w:hanging="360"/>
      </w:pPr>
      <w:rPr>
        <w:rFonts w:ascii="Symbol" w:hAnsi="Symbol" w:hint="default"/>
      </w:rPr>
    </w:lvl>
    <w:lvl w:ilvl="4" w:tplc="3F52A048">
      <w:start w:val="1"/>
      <w:numFmt w:val="bullet"/>
      <w:lvlText w:val="o"/>
      <w:lvlJc w:val="left"/>
      <w:pPr>
        <w:ind w:left="3600" w:hanging="360"/>
      </w:pPr>
      <w:rPr>
        <w:rFonts w:ascii="Courier New" w:hAnsi="Courier New" w:hint="default"/>
      </w:rPr>
    </w:lvl>
    <w:lvl w:ilvl="5" w:tplc="897CF000">
      <w:start w:val="1"/>
      <w:numFmt w:val="bullet"/>
      <w:lvlText w:val=""/>
      <w:lvlJc w:val="left"/>
      <w:pPr>
        <w:ind w:left="4320" w:hanging="360"/>
      </w:pPr>
      <w:rPr>
        <w:rFonts w:ascii="Wingdings" w:hAnsi="Wingdings" w:hint="default"/>
      </w:rPr>
    </w:lvl>
    <w:lvl w:ilvl="6" w:tplc="B4C8F136">
      <w:start w:val="1"/>
      <w:numFmt w:val="bullet"/>
      <w:lvlText w:val=""/>
      <w:lvlJc w:val="left"/>
      <w:pPr>
        <w:ind w:left="5040" w:hanging="360"/>
      </w:pPr>
      <w:rPr>
        <w:rFonts w:ascii="Symbol" w:hAnsi="Symbol" w:hint="default"/>
      </w:rPr>
    </w:lvl>
    <w:lvl w:ilvl="7" w:tplc="602A8DAA">
      <w:start w:val="1"/>
      <w:numFmt w:val="bullet"/>
      <w:lvlText w:val="o"/>
      <w:lvlJc w:val="left"/>
      <w:pPr>
        <w:ind w:left="5760" w:hanging="360"/>
      </w:pPr>
      <w:rPr>
        <w:rFonts w:ascii="Courier New" w:hAnsi="Courier New" w:hint="default"/>
      </w:rPr>
    </w:lvl>
    <w:lvl w:ilvl="8" w:tplc="23908EAC">
      <w:start w:val="1"/>
      <w:numFmt w:val="bullet"/>
      <w:lvlText w:val=""/>
      <w:lvlJc w:val="left"/>
      <w:pPr>
        <w:ind w:left="6480" w:hanging="360"/>
      </w:pPr>
      <w:rPr>
        <w:rFonts w:ascii="Wingdings" w:hAnsi="Wingdings" w:hint="default"/>
      </w:rPr>
    </w:lvl>
  </w:abstractNum>
  <w:abstractNum w:abstractNumId="15" w15:restartNumberingAfterBreak="0">
    <w:nsid w:val="3535FCA7"/>
    <w:multiLevelType w:val="hybridMultilevel"/>
    <w:tmpl w:val="FFFFFFFF"/>
    <w:lvl w:ilvl="0" w:tplc="6368F63A">
      <w:start w:val="8"/>
      <w:numFmt w:val="decimal"/>
      <w:lvlText w:val="Proposal %1"/>
      <w:lvlJc w:val="left"/>
      <w:pPr>
        <w:ind w:left="1304" w:hanging="1304"/>
      </w:pPr>
      <w:rPr>
        <w:rFonts w:ascii="Calibri" w:hAnsi="Calibri" w:hint="default"/>
      </w:rPr>
    </w:lvl>
    <w:lvl w:ilvl="1" w:tplc="B9F2F1BA">
      <w:start w:val="1"/>
      <w:numFmt w:val="lowerLetter"/>
      <w:lvlText w:val="%2."/>
      <w:lvlJc w:val="left"/>
      <w:pPr>
        <w:ind w:left="1440" w:hanging="360"/>
      </w:pPr>
    </w:lvl>
    <w:lvl w:ilvl="2" w:tplc="353A64EE">
      <w:start w:val="1"/>
      <w:numFmt w:val="lowerRoman"/>
      <w:lvlText w:val="%3."/>
      <w:lvlJc w:val="right"/>
      <w:pPr>
        <w:ind w:left="2160" w:hanging="180"/>
      </w:pPr>
    </w:lvl>
    <w:lvl w:ilvl="3" w:tplc="6856250C">
      <w:start w:val="1"/>
      <w:numFmt w:val="decimal"/>
      <w:lvlText w:val="%4."/>
      <w:lvlJc w:val="left"/>
      <w:pPr>
        <w:ind w:left="2880" w:hanging="360"/>
      </w:pPr>
    </w:lvl>
    <w:lvl w:ilvl="4" w:tplc="C388E830">
      <w:start w:val="1"/>
      <w:numFmt w:val="lowerLetter"/>
      <w:lvlText w:val="%5."/>
      <w:lvlJc w:val="left"/>
      <w:pPr>
        <w:ind w:left="3600" w:hanging="360"/>
      </w:pPr>
    </w:lvl>
    <w:lvl w:ilvl="5" w:tplc="FE22050E">
      <w:start w:val="1"/>
      <w:numFmt w:val="lowerRoman"/>
      <w:lvlText w:val="%6."/>
      <w:lvlJc w:val="right"/>
      <w:pPr>
        <w:ind w:left="4320" w:hanging="180"/>
      </w:pPr>
    </w:lvl>
    <w:lvl w:ilvl="6" w:tplc="2EF4CA40">
      <w:start w:val="1"/>
      <w:numFmt w:val="decimal"/>
      <w:lvlText w:val="%7."/>
      <w:lvlJc w:val="left"/>
      <w:pPr>
        <w:ind w:left="5040" w:hanging="360"/>
      </w:pPr>
    </w:lvl>
    <w:lvl w:ilvl="7" w:tplc="B4B031F0">
      <w:start w:val="1"/>
      <w:numFmt w:val="lowerLetter"/>
      <w:lvlText w:val="%8."/>
      <w:lvlJc w:val="left"/>
      <w:pPr>
        <w:ind w:left="5760" w:hanging="360"/>
      </w:pPr>
    </w:lvl>
    <w:lvl w:ilvl="8" w:tplc="53EA9C26">
      <w:start w:val="1"/>
      <w:numFmt w:val="lowerRoman"/>
      <w:lvlText w:val="%9."/>
      <w:lvlJc w:val="right"/>
      <w:pPr>
        <w:ind w:left="6480" w:hanging="180"/>
      </w:pPr>
    </w:lvl>
  </w:abstractNum>
  <w:abstractNum w:abstractNumId="16" w15:restartNumberingAfterBreak="0">
    <w:nsid w:val="35EB68AF"/>
    <w:multiLevelType w:val="hybridMultilevel"/>
    <w:tmpl w:val="FFFFFFFF"/>
    <w:lvl w:ilvl="0" w:tplc="79B69AF4">
      <w:start w:val="1"/>
      <w:numFmt w:val="bullet"/>
      <w:lvlText w:val=""/>
      <w:lvlJc w:val="left"/>
      <w:pPr>
        <w:ind w:left="720" w:hanging="360"/>
      </w:pPr>
      <w:rPr>
        <w:rFonts w:ascii="Symbol" w:hAnsi="Symbol" w:hint="default"/>
      </w:rPr>
    </w:lvl>
    <w:lvl w:ilvl="1" w:tplc="0812F21C">
      <w:start w:val="1"/>
      <w:numFmt w:val="bullet"/>
      <w:lvlText w:val="o"/>
      <w:lvlJc w:val="left"/>
      <w:pPr>
        <w:ind w:left="1440" w:hanging="360"/>
      </w:pPr>
      <w:rPr>
        <w:rFonts w:ascii="Courier New" w:hAnsi="Courier New" w:hint="default"/>
      </w:rPr>
    </w:lvl>
    <w:lvl w:ilvl="2" w:tplc="A6EC3B90">
      <w:start w:val="1"/>
      <w:numFmt w:val="bullet"/>
      <w:lvlText w:val=""/>
      <w:lvlJc w:val="left"/>
      <w:pPr>
        <w:ind w:left="2160" w:hanging="360"/>
      </w:pPr>
      <w:rPr>
        <w:rFonts w:ascii="Wingdings" w:hAnsi="Wingdings" w:hint="default"/>
      </w:rPr>
    </w:lvl>
    <w:lvl w:ilvl="3" w:tplc="945AB12A">
      <w:start w:val="1"/>
      <w:numFmt w:val="bullet"/>
      <w:lvlText w:val=""/>
      <w:lvlJc w:val="left"/>
      <w:pPr>
        <w:ind w:left="2880" w:hanging="360"/>
      </w:pPr>
      <w:rPr>
        <w:rFonts w:ascii="Symbol" w:hAnsi="Symbol" w:hint="default"/>
      </w:rPr>
    </w:lvl>
    <w:lvl w:ilvl="4" w:tplc="484871D6">
      <w:start w:val="1"/>
      <w:numFmt w:val="bullet"/>
      <w:lvlText w:val="o"/>
      <w:lvlJc w:val="left"/>
      <w:pPr>
        <w:ind w:left="3600" w:hanging="360"/>
      </w:pPr>
      <w:rPr>
        <w:rFonts w:ascii="Courier New" w:hAnsi="Courier New" w:hint="default"/>
      </w:rPr>
    </w:lvl>
    <w:lvl w:ilvl="5" w:tplc="8A86A4E2">
      <w:start w:val="1"/>
      <w:numFmt w:val="bullet"/>
      <w:lvlText w:val=""/>
      <w:lvlJc w:val="left"/>
      <w:pPr>
        <w:ind w:left="4320" w:hanging="360"/>
      </w:pPr>
      <w:rPr>
        <w:rFonts w:ascii="Wingdings" w:hAnsi="Wingdings" w:hint="default"/>
      </w:rPr>
    </w:lvl>
    <w:lvl w:ilvl="6" w:tplc="1486A614">
      <w:start w:val="1"/>
      <w:numFmt w:val="bullet"/>
      <w:lvlText w:val=""/>
      <w:lvlJc w:val="left"/>
      <w:pPr>
        <w:ind w:left="5040" w:hanging="360"/>
      </w:pPr>
      <w:rPr>
        <w:rFonts w:ascii="Symbol" w:hAnsi="Symbol" w:hint="default"/>
      </w:rPr>
    </w:lvl>
    <w:lvl w:ilvl="7" w:tplc="E638AC78">
      <w:start w:val="1"/>
      <w:numFmt w:val="bullet"/>
      <w:lvlText w:val="o"/>
      <w:lvlJc w:val="left"/>
      <w:pPr>
        <w:ind w:left="5760" w:hanging="360"/>
      </w:pPr>
      <w:rPr>
        <w:rFonts w:ascii="Courier New" w:hAnsi="Courier New" w:hint="default"/>
      </w:rPr>
    </w:lvl>
    <w:lvl w:ilvl="8" w:tplc="20B4F090">
      <w:start w:val="1"/>
      <w:numFmt w:val="bullet"/>
      <w:lvlText w:val=""/>
      <w:lvlJc w:val="left"/>
      <w:pPr>
        <w:ind w:left="6480" w:hanging="360"/>
      </w:pPr>
      <w:rPr>
        <w:rFonts w:ascii="Wingdings" w:hAnsi="Wingdings" w:hint="default"/>
      </w:rPr>
    </w:lvl>
  </w:abstractNum>
  <w:abstractNum w:abstractNumId="17" w15:restartNumberingAfterBreak="0">
    <w:nsid w:val="38E27AAD"/>
    <w:multiLevelType w:val="hybridMultilevel"/>
    <w:tmpl w:val="3F68E02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AA46647"/>
    <w:multiLevelType w:val="hybridMultilevel"/>
    <w:tmpl w:val="BA9ED032"/>
    <w:lvl w:ilvl="0" w:tplc="CE4E16C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A15AFB"/>
    <w:multiLevelType w:val="hybridMultilevel"/>
    <w:tmpl w:val="FFFFFFFF"/>
    <w:lvl w:ilvl="0" w:tplc="6D8AA084">
      <w:start w:val="1"/>
      <w:numFmt w:val="bullet"/>
      <w:lvlText w:val=""/>
      <w:lvlJc w:val="left"/>
      <w:pPr>
        <w:ind w:left="2024" w:hanging="360"/>
      </w:pPr>
      <w:rPr>
        <w:rFonts w:ascii="Symbol" w:hAnsi="Symbol" w:hint="default"/>
      </w:rPr>
    </w:lvl>
    <w:lvl w:ilvl="1" w:tplc="5650BE10">
      <w:start w:val="1"/>
      <w:numFmt w:val="bullet"/>
      <w:lvlText w:val="o"/>
      <w:lvlJc w:val="left"/>
      <w:pPr>
        <w:ind w:left="1440" w:hanging="360"/>
      </w:pPr>
      <w:rPr>
        <w:rFonts w:ascii="Courier New" w:hAnsi="Courier New" w:hint="default"/>
      </w:rPr>
    </w:lvl>
    <w:lvl w:ilvl="2" w:tplc="E452ABE2">
      <w:start w:val="1"/>
      <w:numFmt w:val="bullet"/>
      <w:lvlText w:val=""/>
      <w:lvlJc w:val="left"/>
      <w:pPr>
        <w:ind w:left="2160" w:hanging="360"/>
      </w:pPr>
      <w:rPr>
        <w:rFonts w:ascii="Wingdings" w:hAnsi="Wingdings" w:hint="default"/>
      </w:rPr>
    </w:lvl>
    <w:lvl w:ilvl="3" w:tplc="96CA586E">
      <w:start w:val="1"/>
      <w:numFmt w:val="bullet"/>
      <w:lvlText w:val=""/>
      <w:lvlJc w:val="left"/>
      <w:pPr>
        <w:ind w:left="2880" w:hanging="360"/>
      </w:pPr>
      <w:rPr>
        <w:rFonts w:ascii="Symbol" w:hAnsi="Symbol" w:hint="default"/>
      </w:rPr>
    </w:lvl>
    <w:lvl w:ilvl="4" w:tplc="CDB42838">
      <w:start w:val="1"/>
      <w:numFmt w:val="bullet"/>
      <w:lvlText w:val="o"/>
      <w:lvlJc w:val="left"/>
      <w:pPr>
        <w:ind w:left="3600" w:hanging="360"/>
      </w:pPr>
      <w:rPr>
        <w:rFonts w:ascii="Courier New" w:hAnsi="Courier New" w:hint="default"/>
      </w:rPr>
    </w:lvl>
    <w:lvl w:ilvl="5" w:tplc="5BE6EE5C">
      <w:start w:val="1"/>
      <w:numFmt w:val="bullet"/>
      <w:lvlText w:val=""/>
      <w:lvlJc w:val="left"/>
      <w:pPr>
        <w:ind w:left="4320" w:hanging="360"/>
      </w:pPr>
      <w:rPr>
        <w:rFonts w:ascii="Wingdings" w:hAnsi="Wingdings" w:hint="default"/>
      </w:rPr>
    </w:lvl>
    <w:lvl w:ilvl="6" w:tplc="D758CE2C">
      <w:start w:val="1"/>
      <w:numFmt w:val="bullet"/>
      <w:lvlText w:val=""/>
      <w:lvlJc w:val="left"/>
      <w:pPr>
        <w:ind w:left="5040" w:hanging="360"/>
      </w:pPr>
      <w:rPr>
        <w:rFonts w:ascii="Symbol" w:hAnsi="Symbol" w:hint="default"/>
      </w:rPr>
    </w:lvl>
    <w:lvl w:ilvl="7" w:tplc="FF7857D8">
      <w:start w:val="1"/>
      <w:numFmt w:val="bullet"/>
      <w:lvlText w:val="o"/>
      <w:lvlJc w:val="left"/>
      <w:pPr>
        <w:ind w:left="5760" w:hanging="360"/>
      </w:pPr>
      <w:rPr>
        <w:rFonts w:ascii="Courier New" w:hAnsi="Courier New" w:hint="default"/>
      </w:rPr>
    </w:lvl>
    <w:lvl w:ilvl="8" w:tplc="8B44509C">
      <w:start w:val="1"/>
      <w:numFmt w:val="bullet"/>
      <w:lvlText w:val=""/>
      <w:lvlJc w:val="left"/>
      <w:pPr>
        <w:ind w:left="6480" w:hanging="360"/>
      </w:pPr>
      <w:rPr>
        <w:rFonts w:ascii="Wingdings" w:hAnsi="Wingdings" w:hint="default"/>
      </w:rPr>
    </w:lvl>
  </w:abstractNum>
  <w:abstractNum w:abstractNumId="20" w15:restartNumberingAfterBreak="0">
    <w:nsid w:val="403CE2AA"/>
    <w:multiLevelType w:val="hybridMultilevel"/>
    <w:tmpl w:val="FFFFFFFF"/>
    <w:lvl w:ilvl="0" w:tplc="4E68676A">
      <w:start w:val="3"/>
      <w:numFmt w:val="decimal"/>
      <w:lvlText w:val="Proposal %1"/>
      <w:lvlJc w:val="left"/>
      <w:pPr>
        <w:ind w:left="1304" w:hanging="1304"/>
      </w:pPr>
      <w:rPr>
        <w:rFonts w:ascii="Calibri" w:hAnsi="Calibri" w:hint="default"/>
      </w:rPr>
    </w:lvl>
    <w:lvl w:ilvl="1" w:tplc="BFBADBD8">
      <w:start w:val="1"/>
      <w:numFmt w:val="lowerLetter"/>
      <w:lvlText w:val="%2."/>
      <w:lvlJc w:val="left"/>
      <w:pPr>
        <w:ind w:left="1440" w:hanging="360"/>
      </w:pPr>
    </w:lvl>
    <w:lvl w:ilvl="2" w:tplc="7C9830AC">
      <w:start w:val="1"/>
      <w:numFmt w:val="lowerRoman"/>
      <w:lvlText w:val="%3."/>
      <w:lvlJc w:val="right"/>
      <w:pPr>
        <w:ind w:left="2160" w:hanging="180"/>
      </w:pPr>
    </w:lvl>
    <w:lvl w:ilvl="3" w:tplc="C3C6F766">
      <w:start w:val="1"/>
      <w:numFmt w:val="decimal"/>
      <w:lvlText w:val="%4."/>
      <w:lvlJc w:val="left"/>
      <w:pPr>
        <w:ind w:left="2880" w:hanging="360"/>
      </w:pPr>
    </w:lvl>
    <w:lvl w:ilvl="4" w:tplc="BEA656D8">
      <w:start w:val="1"/>
      <w:numFmt w:val="lowerLetter"/>
      <w:lvlText w:val="%5."/>
      <w:lvlJc w:val="left"/>
      <w:pPr>
        <w:ind w:left="3600" w:hanging="360"/>
      </w:pPr>
    </w:lvl>
    <w:lvl w:ilvl="5" w:tplc="FA5A0CCE">
      <w:start w:val="1"/>
      <w:numFmt w:val="lowerRoman"/>
      <w:lvlText w:val="%6."/>
      <w:lvlJc w:val="right"/>
      <w:pPr>
        <w:ind w:left="4320" w:hanging="180"/>
      </w:pPr>
    </w:lvl>
    <w:lvl w:ilvl="6" w:tplc="B6C08854">
      <w:start w:val="1"/>
      <w:numFmt w:val="decimal"/>
      <w:lvlText w:val="%7."/>
      <w:lvlJc w:val="left"/>
      <w:pPr>
        <w:ind w:left="5040" w:hanging="360"/>
      </w:pPr>
    </w:lvl>
    <w:lvl w:ilvl="7" w:tplc="9EBE78E8">
      <w:start w:val="1"/>
      <w:numFmt w:val="lowerLetter"/>
      <w:lvlText w:val="%8."/>
      <w:lvlJc w:val="left"/>
      <w:pPr>
        <w:ind w:left="5760" w:hanging="360"/>
      </w:pPr>
    </w:lvl>
    <w:lvl w:ilvl="8" w:tplc="DB1692C0">
      <w:start w:val="1"/>
      <w:numFmt w:val="lowerRoman"/>
      <w:lvlText w:val="%9."/>
      <w:lvlJc w:val="right"/>
      <w:pPr>
        <w:ind w:left="6480" w:hanging="180"/>
      </w:pPr>
    </w:lvl>
  </w:abstractNum>
  <w:abstractNum w:abstractNumId="21" w15:restartNumberingAfterBreak="0">
    <w:nsid w:val="407847D9"/>
    <w:multiLevelType w:val="hybridMultilevel"/>
    <w:tmpl w:val="FFFFFFFF"/>
    <w:lvl w:ilvl="0" w:tplc="F7F2A78A">
      <w:start w:val="4"/>
      <w:numFmt w:val="decimal"/>
      <w:lvlText w:val="Proposal %1"/>
      <w:lvlJc w:val="left"/>
      <w:pPr>
        <w:ind w:left="1304" w:hanging="1304"/>
      </w:pPr>
      <w:rPr>
        <w:rFonts w:ascii="Calibri" w:hAnsi="Calibri" w:hint="default"/>
      </w:rPr>
    </w:lvl>
    <w:lvl w:ilvl="1" w:tplc="C87E2FDC">
      <w:start w:val="1"/>
      <w:numFmt w:val="lowerLetter"/>
      <w:lvlText w:val="%2."/>
      <w:lvlJc w:val="left"/>
      <w:pPr>
        <w:ind w:left="1440" w:hanging="360"/>
      </w:pPr>
    </w:lvl>
    <w:lvl w:ilvl="2" w:tplc="560C5B28">
      <w:start w:val="1"/>
      <w:numFmt w:val="lowerRoman"/>
      <w:lvlText w:val="%3."/>
      <w:lvlJc w:val="right"/>
      <w:pPr>
        <w:ind w:left="2160" w:hanging="180"/>
      </w:pPr>
    </w:lvl>
    <w:lvl w:ilvl="3" w:tplc="98B28232">
      <w:start w:val="1"/>
      <w:numFmt w:val="decimal"/>
      <w:lvlText w:val="%4."/>
      <w:lvlJc w:val="left"/>
      <w:pPr>
        <w:ind w:left="2880" w:hanging="360"/>
      </w:pPr>
    </w:lvl>
    <w:lvl w:ilvl="4" w:tplc="466CEA8E">
      <w:start w:val="1"/>
      <w:numFmt w:val="lowerLetter"/>
      <w:lvlText w:val="%5."/>
      <w:lvlJc w:val="left"/>
      <w:pPr>
        <w:ind w:left="3600" w:hanging="360"/>
      </w:pPr>
    </w:lvl>
    <w:lvl w:ilvl="5" w:tplc="DC7409F4">
      <w:start w:val="1"/>
      <w:numFmt w:val="lowerRoman"/>
      <w:lvlText w:val="%6."/>
      <w:lvlJc w:val="right"/>
      <w:pPr>
        <w:ind w:left="4320" w:hanging="180"/>
      </w:pPr>
    </w:lvl>
    <w:lvl w:ilvl="6" w:tplc="163EA274">
      <w:start w:val="1"/>
      <w:numFmt w:val="decimal"/>
      <w:lvlText w:val="%7."/>
      <w:lvlJc w:val="left"/>
      <w:pPr>
        <w:ind w:left="5040" w:hanging="360"/>
      </w:pPr>
    </w:lvl>
    <w:lvl w:ilvl="7" w:tplc="C4429920">
      <w:start w:val="1"/>
      <w:numFmt w:val="lowerLetter"/>
      <w:lvlText w:val="%8."/>
      <w:lvlJc w:val="left"/>
      <w:pPr>
        <w:ind w:left="5760" w:hanging="360"/>
      </w:pPr>
    </w:lvl>
    <w:lvl w:ilvl="8" w:tplc="F0EC1438">
      <w:start w:val="1"/>
      <w:numFmt w:val="lowerRoman"/>
      <w:lvlText w:val="%9."/>
      <w:lvlJc w:val="right"/>
      <w:pPr>
        <w:ind w:left="6480" w:hanging="180"/>
      </w:pPr>
    </w:lvl>
  </w:abstractNum>
  <w:abstractNum w:abstractNumId="22" w15:restartNumberingAfterBreak="0">
    <w:nsid w:val="40B8AB8E"/>
    <w:multiLevelType w:val="hybridMultilevel"/>
    <w:tmpl w:val="FFFFFFFF"/>
    <w:lvl w:ilvl="0" w:tplc="22CEB08C">
      <w:start w:val="6"/>
      <w:numFmt w:val="decimal"/>
      <w:lvlText w:val="Proposal %1"/>
      <w:lvlJc w:val="left"/>
      <w:pPr>
        <w:ind w:left="1304" w:hanging="1304"/>
      </w:pPr>
      <w:rPr>
        <w:rFonts w:ascii="Calibri" w:hAnsi="Calibri" w:hint="default"/>
      </w:rPr>
    </w:lvl>
    <w:lvl w:ilvl="1" w:tplc="56DA4E9E">
      <w:start w:val="1"/>
      <w:numFmt w:val="lowerLetter"/>
      <w:lvlText w:val="%2."/>
      <w:lvlJc w:val="left"/>
      <w:pPr>
        <w:ind w:left="1440" w:hanging="360"/>
      </w:pPr>
    </w:lvl>
    <w:lvl w:ilvl="2" w:tplc="7D36E596">
      <w:start w:val="1"/>
      <w:numFmt w:val="lowerRoman"/>
      <w:lvlText w:val="%3."/>
      <w:lvlJc w:val="right"/>
      <w:pPr>
        <w:ind w:left="2160" w:hanging="180"/>
      </w:pPr>
    </w:lvl>
    <w:lvl w:ilvl="3" w:tplc="49B4E658">
      <w:start w:val="1"/>
      <w:numFmt w:val="decimal"/>
      <w:lvlText w:val="%4."/>
      <w:lvlJc w:val="left"/>
      <w:pPr>
        <w:ind w:left="2880" w:hanging="360"/>
      </w:pPr>
    </w:lvl>
    <w:lvl w:ilvl="4" w:tplc="70F834CA">
      <w:start w:val="1"/>
      <w:numFmt w:val="lowerLetter"/>
      <w:lvlText w:val="%5."/>
      <w:lvlJc w:val="left"/>
      <w:pPr>
        <w:ind w:left="3600" w:hanging="360"/>
      </w:pPr>
    </w:lvl>
    <w:lvl w:ilvl="5" w:tplc="B9D0E4D0">
      <w:start w:val="1"/>
      <w:numFmt w:val="lowerRoman"/>
      <w:lvlText w:val="%6."/>
      <w:lvlJc w:val="right"/>
      <w:pPr>
        <w:ind w:left="4320" w:hanging="180"/>
      </w:pPr>
    </w:lvl>
    <w:lvl w:ilvl="6" w:tplc="AA6A55C2">
      <w:start w:val="1"/>
      <w:numFmt w:val="decimal"/>
      <w:lvlText w:val="%7."/>
      <w:lvlJc w:val="left"/>
      <w:pPr>
        <w:ind w:left="5040" w:hanging="360"/>
      </w:pPr>
    </w:lvl>
    <w:lvl w:ilvl="7" w:tplc="71F65010">
      <w:start w:val="1"/>
      <w:numFmt w:val="lowerLetter"/>
      <w:lvlText w:val="%8."/>
      <w:lvlJc w:val="left"/>
      <w:pPr>
        <w:ind w:left="5760" w:hanging="360"/>
      </w:pPr>
    </w:lvl>
    <w:lvl w:ilvl="8" w:tplc="C4800F3A">
      <w:start w:val="1"/>
      <w:numFmt w:val="lowerRoman"/>
      <w:lvlText w:val="%9."/>
      <w:lvlJc w:val="right"/>
      <w:pPr>
        <w:ind w:left="6480" w:hanging="180"/>
      </w:pPr>
    </w:lvl>
  </w:abstractNum>
  <w:abstractNum w:abstractNumId="23" w15:restartNumberingAfterBreak="0">
    <w:nsid w:val="4EAFE1F1"/>
    <w:multiLevelType w:val="hybridMultilevel"/>
    <w:tmpl w:val="FFFFFFFF"/>
    <w:lvl w:ilvl="0" w:tplc="DC4E5434">
      <w:start w:val="1"/>
      <w:numFmt w:val="decimal"/>
      <w:lvlText w:val="Proposal %1"/>
      <w:lvlJc w:val="left"/>
      <w:pPr>
        <w:ind w:left="1304" w:hanging="1304"/>
      </w:pPr>
      <w:rPr>
        <w:rFonts w:ascii="Calibri" w:hAnsi="Calibri" w:hint="default"/>
      </w:rPr>
    </w:lvl>
    <w:lvl w:ilvl="1" w:tplc="E7C869FE">
      <w:start w:val="1"/>
      <w:numFmt w:val="lowerLetter"/>
      <w:lvlText w:val="%2."/>
      <w:lvlJc w:val="left"/>
      <w:pPr>
        <w:ind w:left="1440" w:hanging="360"/>
      </w:pPr>
    </w:lvl>
    <w:lvl w:ilvl="2" w:tplc="D2B647F8">
      <w:start w:val="1"/>
      <w:numFmt w:val="lowerRoman"/>
      <w:lvlText w:val="%3."/>
      <w:lvlJc w:val="right"/>
      <w:pPr>
        <w:ind w:left="2160" w:hanging="180"/>
      </w:pPr>
    </w:lvl>
    <w:lvl w:ilvl="3" w:tplc="4E06A228">
      <w:start w:val="1"/>
      <w:numFmt w:val="decimal"/>
      <w:lvlText w:val="%4."/>
      <w:lvlJc w:val="left"/>
      <w:pPr>
        <w:ind w:left="2880" w:hanging="360"/>
      </w:pPr>
    </w:lvl>
    <w:lvl w:ilvl="4" w:tplc="7242EB70">
      <w:start w:val="1"/>
      <w:numFmt w:val="lowerLetter"/>
      <w:lvlText w:val="%5."/>
      <w:lvlJc w:val="left"/>
      <w:pPr>
        <w:ind w:left="3600" w:hanging="360"/>
      </w:pPr>
    </w:lvl>
    <w:lvl w:ilvl="5" w:tplc="C8D635C8">
      <w:start w:val="1"/>
      <w:numFmt w:val="lowerRoman"/>
      <w:lvlText w:val="%6."/>
      <w:lvlJc w:val="right"/>
      <w:pPr>
        <w:ind w:left="4320" w:hanging="180"/>
      </w:pPr>
    </w:lvl>
    <w:lvl w:ilvl="6" w:tplc="CBF6533E">
      <w:start w:val="1"/>
      <w:numFmt w:val="decimal"/>
      <w:lvlText w:val="%7."/>
      <w:lvlJc w:val="left"/>
      <w:pPr>
        <w:ind w:left="5040" w:hanging="360"/>
      </w:pPr>
    </w:lvl>
    <w:lvl w:ilvl="7" w:tplc="C5DE7372">
      <w:start w:val="1"/>
      <w:numFmt w:val="lowerLetter"/>
      <w:lvlText w:val="%8."/>
      <w:lvlJc w:val="left"/>
      <w:pPr>
        <w:ind w:left="5760" w:hanging="360"/>
      </w:pPr>
    </w:lvl>
    <w:lvl w:ilvl="8" w:tplc="3ECCACA2">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7EF2C4"/>
    <w:multiLevelType w:val="hybridMultilevel"/>
    <w:tmpl w:val="FFFFFFFF"/>
    <w:lvl w:ilvl="0" w:tplc="A6D4A60E">
      <w:start w:val="1"/>
      <w:numFmt w:val="bullet"/>
      <w:lvlText w:val="-"/>
      <w:lvlJc w:val="left"/>
      <w:pPr>
        <w:ind w:left="720" w:hanging="360"/>
      </w:pPr>
      <w:rPr>
        <w:rFonts w:ascii="Symbol" w:hAnsi="Symbol" w:hint="default"/>
      </w:rPr>
    </w:lvl>
    <w:lvl w:ilvl="1" w:tplc="E23A9096">
      <w:start w:val="1"/>
      <w:numFmt w:val="bullet"/>
      <w:lvlText w:val="o"/>
      <w:lvlJc w:val="left"/>
      <w:pPr>
        <w:ind w:left="1440" w:hanging="360"/>
      </w:pPr>
      <w:rPr>
        <w:rFonts w:ascii="Courier New" w:hAnsi="Courier New" w:hint="default"/>
      </w:rPr>
    </w:lvl>
    <w:lvl w:ilvl="2" w:tplc="31C6CE8A">
      <w:start w:val="1"/>
      <w:numFmt w:val="bullet"/>
      <w:lvlText w:val=""/>
      <w:lvlJc w:val="left"/>
      <w:pPr>
        <w:ind w:left="2160" w:hanging="360"/>
      </w:pPr>
      <w:rPr>
        <w:rFonts w:ascii="Wingdings" w:hAnsi="Wingdings" w:hint="default"/>
      </w:rPr>
    </w:lvl>
    <w:lvl w:ilvl="3" w:tplc="1B2A7FC8">
      <w:start w:val="1"/>
      <w:numFmt w:val="bullet"/>
      <w:lvlText w:val=""/>
      <w:lvlJc w:val="left"/>
      <w:pPr>
        <w:ind w:left="2880" w:hanging="360"/>
      </w:pPr>
      <w:rPr>
        <w:rFonts w:ascii="Symbol" w:hAnsi="Symbol" w:hint="default"/>
      </w:rPr>
    </w:lvl>
    <w:lvl w:ilvl="4" w:tplc="BB042476">
      <w:start w:val="1"/>
      <w:numFmt w:val="bullet"/>
      <w:lvlText w:val="o"/>
      <w:lvlJc w:val="left"/>
      <w:pPr>
        <w:ind w:left="3600" w:hanging="360"/>
      </w:pPr>
      <w:rPr>
        <w:rFonts w:ascii="Courier New" w:hAnsi="Courier New" w:hint="default"/>
      </w:rPr>
    </w:lvl>
    <w:lvl w:ilvl="5" w:tplc="4492FD52">
      <w:start w:val="1"/>
      <w:numFmt w:val="bullet"/>
      <w:lvlText w:val=""/>
      <w:lvlJc w:val="left"/>
      <w:pPr>
        <w:ind w:left="4320" w:hanging="360"/>
      </w:pPr>
      <w:rPr>
        <w:rFonts w:ascii="Wingdings" w:hAnsi="Wingdings" w:hint="default"/>
      </w:rPr>
    </w:lvl>
    <w:lvl w:ilvl="6" w:tplc="F13A0252">
      <w:start w:val="1"/>
      <w:numFmt w:val="bullet"/>
      <w:lvlText w:val=""/>
      <w:lvlJc w:val="left"/>
      <w:pPr>
        <w:ind w:left="5040" w:hanging="360"/>
      </w:pPr>
      <w:rPr>
        <w:rFonts w:ascii="Symbol" w:hAnsi="Symbol" w:hint="default"/>
      </w:rPr>
    </w:lvl>
    <w:lvl w:ilvl="7" w:tplc="65B43828">
      <w:start w:val="1"/>
      <w:numFmt w:val="bullet"/>
      <w:lvlText w:val="o"/>
      <w:lvlJc w:val="left"/>
      <w:pPr>
        <w:ind w:left="5760" w:hanging="360"/>
      </w:pPr>
      <w:rPr>
        <w:rFonts w:ascii="Courier New" w:hAnsi="Courier New" w:hint="default"/>
      </w:rPr>
    </w:lvl>
    <w:lvl w:ilvl="8" w:tplc="C6DC6ED6">
      <w:start w:val="1"/>
      <w:numFmt w:val="bullet"/>
      <w:lvlText w:val=""/>
      <w:lvlJc w:val="left"/>
      <w:pPr>
        <w:ind w:left="6480" w:hanging="360"/>
      </w:pPr>
      <w:rPr>
        <w:rFonts w:ascii="Wingdings" w:hAnsi="Wingdings" w:hint="default"/>
      </w:rPr>
    </w:lvl>
  </w:abstractNum>
  <w:abstractNum w:abstractNumId="26" w15:restartNumberingAfterBreak="0">
    <w:nsid w:val="54D524E7"/>
    <w:multiLevelType w:val="hybridMultilevel"/>
    <w:tmpl w:val="BC00C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66ABD9"/>
    <w:multiLevelType w:val="hybridMultilevel"/>
    <w:tmpl w:val="FFFFFFFF"/>
    <w:lvl w:ilvl="0" w:tplc="5C9A03B4">
      <w:start w:val="1"/>
      <w:numFmt w:val="decimal"/>
      <w:lvlText w:val="Observation %1"/>
      <w:lvlJc w:val="left"/>
      <w:pPr>
        <w:ind w:left="360" w:hanging="360"/>
      </w:pPr>
      <w:rPr>
        <w:rFonts w:ascii="Calibri" w:hAnsi="Calibri" w:hint="default"/>
      </w:rPr>
    </w:lvl>
    <w:lvl w:ilvl="1" w:tplc="8E9A0DDE">
      <w:start w:val="1"/>
      <w:numFmt w:val="lowerLetter"/>
      <w:lvlText w:val="%2."/>
      <w:lvlJc w:val="left"/>
      <w:pPr>
        <w:ind w:left="1440" w:hanging="360"/>
      </w:pPr>
    </w:lvl>
    <w:lvl w:ilvl="2" w:tplc="487C41AE">
      <w:start w:val="1"/>
      <w:numFmt w:val="lowerRoman"/>
      <w:lvlText w:val="%3."/>
      <w:lvlJc w:val="right"/>
      <w:pPr>
        <w:ind w:left="2160" w:hanging="180"/>
      </w:pPr>
    </w:lvl>
    <w:lvl w:ilvl="3" w:tplc="3738CC20">
      <w:start w:val="1"/>
      <w:numFmt w:val="decimal"/>
      <w:lvlText w:val="%4."/>
      <w:lvlJc w:val="left"/>
      <w:pPr>
        <w:ind w:left="2880" w:hanging="360"/>
      </w:pPr>
    </w:lvl>
    <w:lvl w:ilvl="4" w:tplc="A2144A62">
      <w:start w:val="1"/>
      <w:numFmt w:val="lowerLetter"/>
      <w:lvlText w:val="%5."/>
      <w:lvlJc w:val="left"/>
      <w:pPr>
        <w:ind w:left="3600" w:hanging="360"/>
      </w:pPr>
    </w:lvl>
    <w:lvl w:ilvl="5" w:tplc="FD4A9E9A">
      <w:start w:val="1"/>
      <w:numFmt w:val="lowerRoman"/>
      <w:lvlText w:val="%6."/>
      <w:lvlJc w:val="right"/>
      <w:pPr>
        <w:ind w:left="4320" w:hanging="180"/>
      </w:pPr>
    </w:lvl>
    <w:lvl w:ilvl="6" w:tplc="F5AA06AA">
      <w:start w:val="1"/>
      <w:numFmt w:val="decimal"/>
      <w:lvlText w:val="%7."/>
      <w:lvlJc w:val="left"/>
      <w:pPr>
        <w:ind w:left="5040" w:hanging="360"/>
      </w:pPr>
    </w:lvl>
    <w:lvl w:ilvl="7" w:tplc="F7D06D10">
      <w:start w:val="1"/>
      <w:numFmt w:val="lowerLetter"/>
      <w:lvlText w:val="%8."/>
      <w:lvlJc w:val="left"/>
      <w:pPr>
        <w:ind w:left="5760" w:hanging="360"/>
      </w:pPr>
    </w:lvl>
    <w:lvl w:ilvl="8" w:tplc="5EF0864A">
      <w:start w:val="1"/>
      <w:numFmt w:val="lowerRoman"/>
      <w:lvlText w:val="%9."/>
      <w:lvlJc w:val="right"/>
      <w:pPr>
        <w:ind w:left="6480" w:hanging="180"/>
      </w:pPr>
    </w:lvl>
  </w:abstractNum>
  <w:abstractNum w:abstractNumId="28" w15:restartNumberingAfterBreak="0">
    <w:nsid w:val="58FBA5D9"/>
    <w:multiLevelType w:val="hybridMultilevel"/>
    <w:tmpl w:val="FFFFFFFF"/>
    <w:lvl w:ilvl="0" w:tplc="29120748">
      <w:start w:val="1"/>
      <w:numFmt w:val="bullet"/>
      <w:lvlText w:val=""/>
      <w:lvlJc w:val="left"/>
      <w:pPr>
        <w:ind w:left="2024" w:hanging="360"/>
      </w:pPr>
      <w:rPr>
        <w:rFonts w:ascii="Symbol" w:hAnsi="Symbol" w:hint="default"/>
      </w:rPr>
    </w:lvl>
    <w:lvl w:ilvl="1" w:tplc="C0C00036">
      <w:start w:val="1"/>
      <w:numFmt w:val="bullet"/>
      <w:lvlText w:val="o"/>
      <w:lvlJc w:val="left"/>
      <w:pPr>
        <w:ind w:left="1440" w:hanging="360"/>
      </w:pPr>
      <w:rPr>
        <w:rFonts w:ascii="Courier New" w:hAnsi="Courier New" w:hint="default"/>
      </w:rPr>
    </w:lvl>
    <w:lvl w:ilvl="2" w:tplc="5BECC610">
      <w:start w:val="1"/>
      <w:numFmt w:val="bullet"/>
      <w:lvlText w:val=""/>
      <w:lvlJc w:val="left"/>
      <w:pPr>
        <w:ind w:left="2160" w:hanging="360"/>
      </w:pPr>
      <w:rPr>
        <w:rFonts w:ascii="Wingdings" w:hAnsi="Wingdings" w:hint="default"/>
      </w:rPr>
    </w:lvl>
    <w:lvl w:ilvl="3" w:tplc="0D2A66BE">
      <w:start w:val="1"/>
      <w:numFmt w:val="bullet"/>
      <w:lvlText w:val=""/>
      <w:lvlJc w:val="left"/>
      <w:pPr>
        <w:ind w:left="2880" w:hanging="360"/>
      </w:pPr>
      <w:rPr>
        <w:rFonts w:ascii="Symbol" w:hAnsi="Symbol" w:hint="default"/>
      </w:rPr>
    </w:lvl>
    <w:lvl w:ilvl="4" w:tplc="27FEBA96">
      <w:start w:val="1"/>
      <w:numFmt w:val="bullet"/>
      <w:lvlText w:val="o"/>
      <w:lvlJc w:val="left"/>
      <w:pPr>
        <w:ind w:left="3600" w:hanging="360"/>
      </w:pPr>
      <w:rPr>
        <w:rFonts w:ascii="Courier New" w:hAnsi="Courier New" w:hint="default"/>
      </w:rPr>
    </w:lvl>
    <w:lvl w:ilvl="5" w:tplc="A8508004">
      <w:start w:val="1"/>
      <w:numFmt w:val="bullet"/>
      <w:lvlText w:val=""/>
      <w:lvlJc w:val="left"/>
      <w:pPr>
        <w:ind w:left="4320" w:hanging="360"/>
      </w:pPr>
      <w:rPr>
        <w:rFonts w:ascii="Wingdings" w:hAnsi="Wingdings" w:hint="default"/>
      </w:rPr>
    </w:lvl>
    <w:lvl w:ilvl="6" w:tplc="7DF6C8F6">
      <w:start w:val="1"/>
      <w:numFmt w:val="bullet"/>
      <w:lvlText w:val=""/>
      <w:lvlJc w:val="left"/>
      <w:pPr>
        <w:ind w:left="5040" w:hanging="360"/>
      </w:pPr>
      <w:rPr>
        <w:rFonts w:ascii="Symbol" w:hAnsi="Symbol" w:hint="default"/>
      </w:rPr>
    </w:lvl>
    <w:lvl w:ilvl="7" w:tplc="19D2F4E2">
      <w:start w:val="1"/>
      <w:numFmt w:val="bullet"/>
      <w:lvlText w:val="o"/>
      <w:lvlJc w:val="left"/>
      <w:pPr>
        <w:ind w:left="5760" w:hanging="360"/>
      </w:pPr>
      <w:rPr>
        <w:rFonts w:ascii="Courier New" w:hAnsi="Courier New" w:hint="default"/>
      </w:rPr>
    </w:lvl>
    <w:lvl w:ilvl="8" w:tplc="10BC5DD0">
      <w:start w:val="1"/>
      <w:numFmt w:val="bullet"/>
      <w:lvlText w:val=""/>
      <w:lvlJc w:val="left"/>
      <w:pPr>
        <w:ind w:left="6480" w:hanging="360"/>
      </w:pPr>
      <w:rPr>
        <w:rFonts w:ascii="Wingdings" w:hAnsi="Wingdings" w:hint="default"/>
      </w:rPr>
    </w:lvl>
  </w:abstractNum>
  <w:abstractNum w:abstractNumId="29" w15:restartNumberingAfterBreak="0">
    <w:nsid w:val="5CF81993"/>
    <w:multiLevelType w:val="hybridMultilevel"/>
    <w:tmpl w:val="FFFFFFFF"/>
    <w:lvl w:ilvl="0" w:tplc="8D80F6E2">
      <w:start w:val="7"/>
      <w:numFmt w:val="decimal"/>
      <w:lvlText w:val="Proposal %1"/>
      <w:lvlJc w:val="left"/>
      <w:pPr>
        <w:ind w:left="1304" w:hanging="1304"/>
      </w:pPr>
      <w:rPr>
        <w:rFonts w:ascii="Calibri" w:hAnsi="Calibri" w:hint="default"/>
      </w:rPr>
    </w:lvl>
    <w:lvl w:ilvl="1" w:tplc="EA4AC10C">
      <w:start w:val="1"/>
      <w:numFmt w:val="lowerLetter"/>
      <w:lvlText w:val="%2."/>
      <w:lvlJc w:val="left"/>
      <w:pPr>
        <w:ind w:left="1440" w:hanging="360"/>
      </w:pPr>
    </w:lvl>
    <w:lvl w:ilvl="2" w:tplc="9DE02F6E">
      <w:start w:val="1"/>
      <w:numFmt w:val="lowerRoman"/>
      <w:lvlText w:val="%3."/>
      <w:lvlJc w:val="right"/>
      <w:pPr>
        <w:ind w:left="2160" w:hanging="180"/>
      </w:pPr>
    </w:lvl>
    <w:lvl w:ilvl="3" w:tplc="F6A850FA">
      <w:start w:val="1"/>
      <w:numFmt w:val="decimal"/>
      <w:lvlText w:val="%4."/>
      <w:lvlJc w:val="left"/>
      <w:pPr>
        <w:ind w:left="2880" w:hanging="360"/>
      </w:pPr>
    </w:lvl>
    <w:lvl w:ilvl="4" w:tplc="0A4EBFC4">
      <w:start w:val="1"/>
      <w:numFmt w:val="lowerLetter"/>
      <w:lvlText w:val="%5."/>
      <w:lvlJc w:val="left"/>
      <w:pPr>
        <w:ind w:left="3600" w:hanging="360"/>
      </w:pPr>
    </w:lvl>
    <w:lvl w:ilvl="5" w:tplc="6284FF98">
      <w:start w:val="1"/>
      <w:numFmt w:val="lowerRoman"/>
      <w:lvlText w:val="%6."/>
      <w:lvlJc w:val="right"/>
      <w:pPr>
        <w:ind w:left="4320" w:hanging="180"/>
      </w:pPr>
    </w:lvl>
    <w:lvl w:ilvl="6" w:tplc="F6CC93A6">
      <w:start w:val="1"/>
      <w:numFmt w:val="decimal"/>
      <w:lvlText w:val="%7."/>
      <w:lvlJc w:val="left"/>
      <w:pPr>
        <w:ind w:left="5040" w:hanging="360"/>
      </w:pPr>
    </w:lvl>
    <w:lvl w:ilvl="7" w:tplc="AC220954">
      <w:start w:val="1"/>
      <w:numFmt w:val="lowerLetter"/>
      <w:lvlText w:val="%8."/>
      <w:lvlJc w:val="left"/>
      <w:pPr>
        <w:ind w:left="5760" w:hanging="360"/>
      </w:pPr>
    </w:lvl>
    <w:lvl w:ilvl="8" w:tplc="398AE834">
      <w:start w:val="1"/>
      <w:numFmt w:val="lowerRoman"/>
      <w:lvlText w:val="%9."/>
      <w:lvlJc w:val="right"/>
      <w:pPr>
        <w:ind w:left="6480" w:hanging="180"/>
      </w:pPr>
    </w:lvl>
  </w:abstractNum>
  <w:abstractNum w:abstractNumId="30" w15:restartNumberingAfterBreak="0">
    <w:nsid w:val="61B865A0"/>
    <w:multiLevelType w:val="hybridMultilevel"/>
    <w:tmpl w:val="FFFFFFFF"/>
    <w:lvl w:ilvl="0" w:tplc="2946EC4E">
      <w:start w:val="3"/>
      <w:numFmt w:val="decimal"/>
      <w:pStyle w:val="Reference"/>
      <w:lvlText w:val="Observation %1"/>
      <w:lvlJc w:val="left"/>
      <w:pPr>
        <w:ind w:left="360" w:hanging="360"/>
      </w:pPr>
      <w:rPr>
        <w:rFonts w:ascii="Calibri" w:hAnsi="Calibri" w:hint="default"/>
      </w:rPr>
    </w:lvl>
    <w:lvl w:ilvl="1" w:tplc="FCAE6D96">
      <w:start w:val="1"/>
      <w:numFmt w:val="lowerLetter"/>
      <w:lvlText w:val="%2."/>
      <w:lvlJc w:val="left"/>
      <w:pPr>
        <w:ind w:left="1440" w:hanging="360"/>
      </w:pPr>
    </w:lvl>
    <w:lvl w:ilvl="2" w:tplc="9D3EF1B2">
      <w:start w:val="1"/>
      <w:numFmt w:val="lowerRoman"/>
      <w:lvlText w:val="%3."/>
      <w:lvlJc w:val="right"/>
      <w:pPr>
        <w:ind w:left="2160" w:hanging="180"/>
      </w:pPr>
    </w:lvl>
    <w:lvl w:ilvl="3" w:tplc="E5E4E614">
      <w:start w:val="1"/>
      <w:numFmt w:val="decimal"/>
      <w:lvlText w:val="%4."/>
      <w:lvlJc w:val="left"/>
      <w:pPr>
        <w:ind w:left="2880" w:hanging="360"/>
      </w:pPr>
    </w:lvl>
    <w:lvl w:ilvl="4" w:tplc="0A06C446">
      <w:start w:val="1"/>
      <w:numFmt w:val="lowerLetter"/>
      <w:lvlText w:val="%5."/>
      <w:lvlJc w:val="left"/>
      <w:pPr>
        <w:ind w:left="3600" w:hanging="360"/>
      </w:pPr>
    </w:lvl>
    <w:lvl w:ilvl="5" w:tplc="26F29C3C">
      <w:start w:val="1"/>
      <w:numFmt w:val="lowerRoman"/>
      <w:lvlText w:val="%6."/>
      <w:lvlJc w:val="right"/>
      <w:pPr>
        <w:ind w:left="4320" w:hanging="180"/>
      </w:pPr>
    </w:lvl>
    <w:lvl w:ilvl="6" w:tplc="3B22FD32">
      <w:start w:val="1"/>
      <w:numFmt w:val="decimal"/>
      <w:lvlText w:val="%7."/>
      <w:lvlJc w:val="left"/>
      <w:pPr>
        <w:ind w:left="5040" w:hanging="360"/>
      </w:pPr>
    </w:lvl>
    <w:lvl w:ilvl="7" w:tplc="F3FE01AE">
      <w:start w:val="1"/>
      <w:numFmt w:val="lowerLetter"/>
      <w:lvlText w:val="%8."/>
      <w:lvlJc w:val="left"/>
      <w:pPr>
        <w:ind w:left="5760" w:hanging="360"/>
      </w:pPr>
    </w:lvl>
    <w:lvl w:ilvl="8" w:tplc="D42420D2">
      <w:start w:val="1"/>
      <w:numFmt w:val="lowerRoman"/>
      <w:lvlText w:val="%9."/>
      <w:lvlJc w:val="right"/>
      <w:pPr>
        <w:ind w:left="6480" w:hanging="180"/>
      </w:pPr>
    </w:lvl>
  </w:abstractNum>
  <w:abstractNum w:abstractNumId="31" w15:restartNumberingAfterBreak="0">
    <w:nsid w:val="63A44C1E"/>
    <w:multiLevelType w:val="multilevel"/>
    <w:tmpl w:val="B5E6A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8B5E3E"/>
    <w:multiLevelType w:val="hybridMultilevel"/>
    <w:tmpl w:val="6DFE1514"/>
    <w:lvl w:ilvl="0" w:tplc="FFFFFFFF">
      <w:start w:val="1"/>
      <w:numFmt w:val="decimal"/>
      <w:lvlText w:val="2.%1"/>
      <w:lvlJc w:val="left"/>
      <w:pPr>
        <w:ind w:left="360" w:hanging="360"/>
      </w:pPr>
      <w:rPr>
        <w:rFonts w:ascii="Arial" w:hAnsi="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6E4F98C4"/>
    <w:multiLevelType w:val="hybridMultilevel"/>
    <w:tmpl w:val="FFFFFFFF"/>
    <w:lvl w:ilvl="0" w:tplc="540CCC70">
      <w:start w:val="1"/>
      <w:numFmt w:val="bullet"/>
      <w:lvlText w:val=""/>
      <w:lvlJc w:val="left"/>
      <w:pPr>
        <w:ind w:left="720" w:hanging="360"/>
      </w:pPr>
      <w:rPr>
        <w:rFonts w:ascii="Symbol" w:hAnsi="Symbol" w:hint="default"/>
      </w:rPr>
    </w:lvl>
    <w:lvl w:ilvl="1" w:tplc="6A2CB6A6">
      <w:start w:val="1"/>
      <w:numFmt w:val="bullet"/>
      <w:lvlText w:val="o"/>
      <w:lvlJc w:val="left"/>
      <w:pPr>
        <w:ind w:left="1440" w:hanging="360"/>
      </w:pPr>
      <w:rPr>
        <w:rFonts w:ascii="Courier New" w:hAnsi="Courier New" w:hint="default"/>
      </w:rPr>
    </w:lvl>
    <w:lvl w:ilvl="2" w:tplc="9B5E08F6">
      <w:start w:val="1"/>
      <w:numFmt w:val="bullet"/>
      <w:lvlText w:val=""/>
      <w:lvlJc w:val="left"/>
      <w:pPr>
        <w:ind w:left="2160" w:hanging="360"/>
      </w:pPr>
      <w:rPr>
        <w:rFonts w:ascii="Wingdings" w:hAnsi="Wingdings" w:hint="default"/>
      </w:rPr>
    </w:lvl>
    <w:lvl w:ilvl="3" w:tplc="3ECA36E4">
      <w:start w:val="1"/>
      <w:numFmt w:val="bullet"/>
      <w:lvlText w:val=""/>
      <w:lvlJc w:val="left"/>
      <w:pPr>
        <w:ind w:left="2880" w:hanging="360"/>
      </w:pPr>
      <w:rPr>
        <w:rFonts w:ascii="Symbol" w:hAnsi="Symbol" w:hint="default"/>
      </w:rPr>
    </w:lvl>
    <w:lvl w:ilvl="4" w:tplc="42CE4340">
      <w:start w:val="1"/>
      <w:numFmt w:val="bullet"/>
      <w:lvlText w:val="o"/>
      <w:lvlJc w:val="left"/>
      <w:pPr>
        <w:ind w:left="3600" w:hanging="360"/>
      </w:pPr>
      <w:rPr>
        <w:rFonts w:ascii="Courier New" w:hAnsi="Courier New" w:hint="default"/>
      </w:rPr>
    </w:lvl>
    <w:lvl w:ilvl="5" w:tplc="79CAA45C">
      <w:start w:val="1"/>
      <w:numFmt w:val="bullet"/>
      <w:lvlText w:val=""/>
      <w:lvlJc w:val="left"/>
      <w:pPr>
        <w:ind w:left="4320" w:hanging="360"/>
      </w:pPr>
      <w:rPr>
        <w:rFonts w:ascii="Wingdings" w:hAnsi="Wingdings" w:hint="default"/>
      </w:rPr>
    </w:lvl>
    <w:lvl w:ilvl="6" w:tplc="D3A881E6">
      <w:start w:val="1"/>
      <w:numFmt w:val="bullet"/>
      <w:lvlText w:val=""/>
      <w:lvlJc w:val="left"/>
      <w:pPr>
        <w:ind w:left="5040" w:hanging="360"/>
      </w:pPr>
      <w:rPr>
        <w:rFonts w:ascii="Symbol" w:hAnsi="Symbol" w:hint="default"/>
      </w:rPr>
    </w:lvl>
    <w:lvl w:ilvl="7" w:tplc="CBB6A5F0">
      <w:start w:val="1"/>
      <w:numFmt w:val="bullet"/>
      <w:lvlText w:val="o"/>
      <w:lvlJc w:val="left"/>
      <w:pPr>
        <w:ind w:left="5760" w:hanging="360"/>
      </w:pPr>
      <w:rPr>
        <w:rFonts w:ascii="Courier New" w:hAnsi="Courier New" w:hint="default"/>
      </w:rPr>
    </w:lvl>
    <w:lvl w:ilvl="8" w:tplc="7C3205A4">
      <w:start w:val="1"/>
      <w:numFmt w:val="bullet"/>
      <w:lvlText w:val=""/>
      <w:lvlJc w:val="left"/>
      <w:pPr>
        <w:ind w:left="6480" w:hanging="360"/>
      </w:pPr>
      <w:rPr>
        <w:rFonts w:ascii="Wingdings" w:hAnsi="Wingdings" w:hint="default"/>
      </w:rPr>
    </w:lvl>
  </w:abstractNum>
  <w:abstractNum w:abstractNumId="34" w15:restartNumberingAfterBreak="0">
    <w:nsid w:val="6EA67482"/>
    <w:multiLevelType w:val="hybridMultilevel"/>
    <w:tmpl w:val="FFFFFFFF"/>
    <w:lvl w:ilvl="0" w:tplc="5808960A">
      <w:start w:val="5"/>
      <w:numFmt w:val="decimal"/>
      <w:lvlText w:val="Proposal %1"/>
      <w:lvlJc w:val="left"/>
      <w:pPr>
        <w:ind w:left="1304" w:hanging="1304"/>
      </w:pPr>
      <w:rPr>
        <w:rFonts w:ascii="Calibri" w:hAnsi="Calibri" w:hint="default"/>
      </w:rPr>
    </w:lvl>
    <w:lvl w:ilvl="1" w:tplc="A724B638">
      <w:start w:val="1"/>
      <w:numFmt w:val="lowerLetter"/>
      <w:lvlText w:val="%2."/>
      <w:lvlJc w:val="left"/>
      <w:pPr>
        <w:ind w:left="1440" w:hanging="360"/>
      </w:pPr>
    </w:lvl>
    <w:lvl w:ilvl="2" w:tplc="F6EED4CA">
      <w:start w:val="1"/>
      <w:numFmt w:val="lowerRoman"/>
      <w:lvlText w:val="%3."/>
      <w:lvlJc w:val="right"/>
      <w:pPr>
        <w:ind w:left="2160" w:hanging="180"/>
      </w:pPr>
    </w:lvl>
    <w:lvl w:ilvl="3" w:tplc="FA0EA2FA">
      <w:start w:val="1"/>
      <w:numFmt w:val="decimal"/>
      <w:lvlText w:val="%4."/>
      <w:lvlJc w:val="left"/>
      <w:pPr>
        <w:ind w:left="2880" w:hanging="360"/>
      </w:pPr>
    </w:lvl>
    <w:lvl w:ilvl="4" w:tplc="D7AC615C">
      <w:start w:val="1"/>
      <w:numFmt w:val="lowerLetter"/>
      <w:lvlText w:val="%5."/>
      <w:lvlJc w:val="left"/>
      <w:pPr>
        <w:ind w:left="3600" w:hanging="360"/>
      </w:pPr>
    </w:lvl>
    <w:lvl w:ilvl="5" w:tplc="8E4688DE">
      <w:start w:val="1"/>
      <w:numFmt w:val="lowerRoman"/>
      <w:lvlText w:val="%6."/>
      <w:lvlJc w:val="right"/>
      <w:pPr>
        <w:ind w:left="4320" w:hanging="180"/>
      </w:pPr>
    </w:lvl>
    <w:lvl w:ilvl="6" w:tplc="25BAB3B6">
      <w:start w:val="1"/>
      <w:numFmt w:val="decimal"/>
      <w:lvlText w:val="%7."/>
      <w:lvlJc w:val="left"/>
      <w:pPr>
        <w:ind w:left="5040" w:hanging="360"/>
      </w:pPr>
    </w:lvl>
    <w:lvl w:ilvl="7" w:tplc="C7A0F4E4">
      <w:start w:val="1"/>
      <w:numFmt w:val="lowerLetter"/>
      <w:lvlText w:val="%8."/>
      <w:lvlJc w:val="left"/>
      <w:pPr>
        <w:ind w:left="5760" w:hanging="360"/>
      </w:pPr>
    </w:lvl>
    <w:lvl w:ilvl="8" w:tplc="5652E2DA">
      <w:start w:val="1"/>
      <w:numFmt w:val="lowerRoman"/>
      <w:lvlText w:val="%9."/>
      <w:lvlJc w:val="right"/>
      <w:pPr>
        <w:ind w:left="6480" w:hanging="180"/>
      </w:pPr>
    </w:lvl>
  </w:abstractNum>
  <w:abstractNum w:abstractNumId="35" w15:restartNumberingAfterBreak="0">
    <w:nsid w:val="79F0EFD4"/>
    <w:multiLevelType w:val="hybridMultilevel"/>
    <w:tmpl w:val="FFFFFFFF"/>
    <w:lvl w:ilvl="0" w:tplc="F79A9654">
      <w:start w:val="2"/>
      <w:numFmt w:val="decimal"/>
      <w:lvlText w:val="Observation %1"/>
      <w:lvlJc w:val="left"/>
      <w:pPr>
        <w:ind w:left="360" w:hanging="360"/>
      </w:pPr>
      <w:rPr>
        <w:rFonts w:ascii="Calibri" w:hAnsi="Calibri" w:hint="default"/>
      </w:rPr>
    </w:lvl>
    <w:lvl w:ilvl="1" w:tplc="860CE3A6">
      <w:start w:val="1"/>
      <w:numFmt w:val="lowerLetter"/>
      <w:lvlText w:val="%2."/>
      <w:lvlJc w:val="left"/>
      <w:pPr>
        <w:ind w:left="1440" w:hanging="360"/>
      </w:pPr>
    </w:lvl>
    <w:lvl w:ilvl="2" w:tplc="F2462396">
      <w:start w:val="1"/>
      <w:numFmt w:val="lowerRoman"/>
      <w:lvlText w:val="%3."/>
      <w:lvlJc w:val="right"/>
      <w:pPr>
        <w:ind w:left="2160" w:hanging="180"/>
      </w:pPr>
    </w:lvl>
    <w:lvl w:ilvl="3" w:tplc="8FA2C502">
      <w:start w:val="1"/>
      <w:numFmt w:val="decimal"/>
      <w:lvlText w:val="%4."/>
      <w:lvlJc w:val="left"/>
      <w:pPr>
        <w:ind w:left="2880" w:hanging="360"/>
      </w:pPr>
    </w:lvl>
    <w:lvl w:ilvl="4" w:tplc="71B0C6BC">
      <w:start w:val="1"/>
      <w:numFmt w:val="lowerLetter"/>
      <w:lvlText w:val="%5."/>
      <w:lvlJc w:val="left"/>
      <w:pPr>
        <w:ind w:left="3600" w:hanging="360"/>
      </w:pPr>
    </w:lvl>
    <w:lvl w:ilvl="5" w:tplc="D2F80866">
      <w:start w:val="1"/>
      <w:numFmt w:val="lowerRoman"/>
      <w:lvlText w:val="%6."/>
      <w:lvlJc w:val="right"/>
      <w:pPr>
        <w:ind w:left="4320" w:hanging="180"/>
      </w:pPr>
    </w:lvl>
    <w:lvl w:ilvl="6" w:tplc="9BA0B938">
      <w:start w:val="1"/>
      <w:numFmt w:val="decimal"/>
      <w:lvlText w:val="%7."/>
      <w:lvlJc w:val="left"/>
      <w:pPr>
        <w:ind w:left="5040" w:hanging="360"/>
      </w:pPr>
    </w:lvl>
    <w:lvl w:ilvl="7" w:tplc="1DFA7B94">
      <w:start w:val="1"/>
      <w:numFmt w:val="lowerLetter"/>
      <w:lvlText w:val="%8."/>
      <w:lvlJc w:val="left"/>
      <w:pPr>
        <w:ind w:left="5760" w:hanging="360"/>
      </w:pPr>
    </w:lvl>
    <w:lvl w:ilvl="8" w:tplc="403466DE">
      <w:start w:val="1"/>
      <w:numFmt w:val="lowerRoman"/>
      <w:lvlText w:val="%9."/>
      <w:lvlJc w:val="right"/>
      <w:pPr>
        <w:ind w:left="6480" w:hanging="180"/>
      </w:pPr>
    </w:lvl>
  </w:abstractNum>
  <w:abstractNum w:abstractNumId="36" w15:restartNumberingAfterBreak="0">
    <w:nsid w:val="7A1F18B5"/>
    <w:multiLevelType w:val="hybridMultilevel"/>
    <w:tmpl w:val="FFFFFFFF"/>
    <w:lvl w:ilvl="0" w:tplc="8CB81436">
      <w:start w:val="2"/>
      <w:numFmt w:val="decimal"/>
      <w:lvlText w:val="%1-"/>
      <w:lvlJc w:val="left"/>
      <w:pPr>
        <w:ind w:left="720" w:hanging="360"/>
      </w:pPr>
      <w:rPr>
        <w:rFonts w:ascii="Calibri" w:hAnsi="Calibri" w:hint="default"/>
      </w:rPr>
    </w:lvl>
    <w:lvl w:ilvl="1" w:tplc="D63C6A6E">
      <w:start w:val="1"/>
      <w:numFmt w:val="lowerLetter"/>
      <w:lvlText w:val="%2."/>
      <w:lvlJc w:val="left"/>
      <w:pPr>
        <w:ind w:left="1440" w:hanging="360"/>
      </w:pPr>
    </w:lvl>
    <w:lvl w:ilvl="2" w:tplc="8E0256DE">
      <w:start w:val="1"/>
      <w:numFmt w:val="lowerRoman"/>
      <w:lvlText w:val="%3."/>
      <w:lvlJc w:val="right"/>
      <w:pPr>
        <w:ind w:left="2160" w:hanging="180"/>
      </w:pPr>
    </w:lvl>
    <w:lvl w:ilvl="3" w:tplc="F8A8FB58">
      <w:start w:val="1"/>
      <w:numFmt w:val="decimal"/>
      <w:lvlText w:val="%4."/>
      <w:lvlJc w:val="left"/>
      <w:pPr>
        <w:ind w:left="2880" w:hanging="360"/>
      </w:pPr>
    </w:lvl>
    <w:lvl w:ilvl="4" w:tplc="21FE6A64">
      <w:start w:val="1"/>
      <w:numFmt w:val="lowerLetter"/>
      <w:lvlText w:val="%5."/>
      <w:lvlJc w:val="left"/>
      <w:pPr>
        <w:ind w:left="3600" w:hanging="360"/>
      </w:pPr>
    </w:lvl>
    <w:lvl w:ilvl="5" w:tplc="EC9257CC">
      <w:start w:val="1"/>
      <w:numFmt w:val="lowerRoman"/>
      <w:lvlText w:val="%6."/>
      <w:lvlJc w:val="right"/>
      <w:pPr>
        <w:ind w:left="4320" w:hanging="180"/>
      </w:pPr>
    </w:lvl>
    <w:lvl w:ilvl="6" w:tplc="C334159E">
      <w:start w:val="1"/>
      <w:numFmt w:val="decimal"/>
      <w:lvlText w:val="%7."/>
      <w:lvlJc w:val="left"/>
      <w:pPr>
        <w:ind w:left="5040" w:hanging="360"/>
      </w:pPr>
    </w:lvl>
    <w:lvl w:ilvl="7" w:tplc="91B205E6">
      <w:start w:val="1"/>
      <w:numFmt w:val="lowerLetter"/>
      <w:lvlText w:val="%8."/>
      <w:lvlJc w:val="left"/>
      <w:pPr>
        <w:ind w:left="5760" w:hanging="360"/>
      </w:pPr>
    </w:lvl>
    <w:lvl w:ilvl="8" w:tplc="B822802E">
      <w:start w:val="1"/>
      <w:numFmt w:val="lowerRoman"/>
      <w:lvlText w:val="%9."/>
      <w:lvlJc w:val="right"/>
      <w:pPr>
        <w:ind w:left="6480" w:hanging="180"/>
      </w:pPr>
    </w:lvl>
  </w:abstractNum>
  <w:abstractNum w:abstractNumId="37" w15:restartNumberingAfterBreak="0">
    <w:nsid w:val="7F8A3BE5"/>
    <w:multiLevelType w:val="hybridMultilevel"/>
    <w:tmpl w:val="FFFFFFFF"/>
    <w:lvl w:ilvl="0" w:tplc="581EEA6C">
      <w:start w:val="1"/>
      <w:numFmt w:val="decimal"/>
      <w:lvlText w:val="%1-"/>
      <w:lvlJc w:val="left"/>
      <w:pPr>
        <w:ind w:left="720" w:hanging="360"/>
      </w:pPr>
      <w:rPr>
        <w:rFonts w:ascii="Calibri" w:hAnsi="Calibri" w:hint="default"/>
      </w:rPr>
    </w:lvl>
    <w:lvl w:ilvl="1" w:tplc="E8386D8E">
      <w:start w:val="1"/>
      <w:numFmt w:val="lowerLetter"/>
      <w:lvlText w:val="%2."/>
      <w:lvlJc w:val="left"/>
      <w:pPr>
        <w:ind w:left="1440" w:hanging="360"/>
      </w:pPr>
    </w:lvl>
    <w:lvl w:ilvl="2" w:tplc="4F62D364">
      <w:start w:val="1"/>
      <w:numFmt w:val="lowerRoman"/>
      <w:lvlText w:val="%3."/>
      <w:lvlJc w:val="right"/>
      <w:pPr>
        <w:ind w:left="2160" w:hanging="180"/>
      </w:pPr>
    </w:lvl>
    <w:lvl w:ilvl="3" w:tplc="5F441406">
      <w:start w:val="1"/>
      <w:numFmt w:val="decimal"/>
      <w:lvlText w:val="%4."/>
      <w:lvlJc w:val="left"/>
      <w:pPr>
        <w:ind w:left="2880" w:hanging="360"/>
      </w:pPr>
    </w:lvl>
    <w:lvl w:ilvl="4" w:tplc="7DFEFF36">
      <w:start w:val="1"/>
      <w:numFmt w:val="lowerLetter"/>
      <w:lvlText w:val="%5."/>
      <w:lvlJc w:val="left"/>
      <w:pPr>
        <w:ind w:left="3600" w:hanging="360"/>
      </w:pPr>
    </w:lvl>
    <w:lvl w:ilvl="5" w:tplc="58CCE2C2">
      <w:start w:val="1"/>
      <w:numFmt w:val="lowerRoman"/>
      <w:lvlText w:val="%6."/>
      <w:lvlJc w:val="right"/>
      <w:pPr>
        <w:ind w:left="4320" w:hanging="180"/>
      </w:pPr>
    </w:lvl>
    <w:lvl w:ilvl="6" w:tplc="CC28CE2C">
      <w:start w:val="1"/>
      <w:numFmt w:val="decimal"/>
      <w:lvlText w:val="%7."/>
      <w:lvlJc w:val="left"/>
      <w:pPr>
        <w:ind w:left="5040" w:hanging="360"/>
      </w:pPr>
    </w:lvl>
    <w:lvl w:ilvl="7" w:tplc="F5A2DE94">
      <w:start w:val="1"/>
      <w:numFmt w:val="lowerLetter"/>
      <w:lvlText w:val="%8."/>
      <w:lvlJc w:val="left"/>
      <w:pPr>
        <w:ind w:left="5760" w:hanging="360"/>
      </w:pPr>
    </w:lvl>
    <w:lvl w:ilvl="8" w:tplc="86888E48">
      <w:start w:val="1"/>
      <w:numFmt w:val="lowerRoman"/>
      <w:lvlText w:val="%9."/>
      <w:lvlJc w:val="right"/>
      <w:pPr>
        <w:ind w:left="6480" w:hanging="180"/>
      </w:pPr>
    </w:lvl>
  </w:abstractNum>
  <w:num w:numId="1" w16cid:durableId="1182864020">
    <w:abstractNumId w:val="11"/>
  </w:num>
  <w:num w:numId="2" w16cid:durableId="478694399">
    <w:abstractNumId w:val="8"/>
  </w:num>
  <w:num w:numId="3" w16cid:durableId="1822961406">
    <w:abstractNumId w:val="10"/>
  </w:num>
  <w:num w:numId="4" w16cid:durableId="568419998">
    <w:abstractNumId w:val="15"/>
  </w:num>
  <w:num w:numId="5" w16cid:durableId="933826500">
    <w:abstractNumId w:val="36"/>
  </w:num>
  <w:num w:numId="6" w16cid:durableId="165099028">
    <w:abstractNumId w:val="29"/>
  </w:num>
  <w:num w:numId="7" w16cid:durableId="1051459713">
    <w:abstractNumId w:val="30"/>
  </w:num>
  <w:num w:numId="8" w16cid:durableId="1508667942">
    <w:abstractNumId w:val="35"/>
  </w:num>
  <w:num w:numId="9" w16cid:durableId="931016379">
    <w:abstractNumId w:val="22"/>
  </w:num>
  <w:num w:numId="10" w16cid:durableId="1956212564">
    <w:abstractNumId w:val="34"/>
  </w:num>
  <w:num w:numId="11" w16cid:durableId="1802921938">
    <w:abstractNumId w:val="21"/>
  </w:num>
  <w:num w:numId="12" w16cid:durableId="1742752440">
    <w:abstractNumId w:val="25"/>
  </w:num>
  <w:num w:numId="13" w16cid:durableId="249584036">
    <w:abstractNumId w:val="33"/>
  </w:num>
  <w:num w:numId="14" w16cid:durableId="1194729440">
    <w:abstractNumId w:val="14"/>
  </w:num>
  <w:num w:numId="15" w16cid:durableId="1653825495">
    <w:abstractNumId w:val="9"/>
  </w:num>
  <w:num w:numId="16" w16cid:durableId="1264605058">
    <w:abstractNumId w:val="4"/>
  </w:num>
  <w:num w:numId="17" w16cid:durableId="183247735">
    <w:abstractNumId w:val="1"/>
  </w:num>
  <w:num w:numId="18" w16cid:durableId="279725574">
    <w:abstractNumId w:val="37"/>
  </w:num>
  <w:num w:numId="19" w16cid:durableId="965624855">
    <w:abstractNumId w:val="3"/>
  </w:num>
  <w:num w:numId="20" w16cid:durableId="1771848770">
    <w:abstractNumId w:val="20"/>
  </w:num>
  <w:num w:numId="21" w16cid:durableId="811337590">
    <w:abstractNumId w:val="5"/>
  </w:num>
  <w:num w:numId="22" w16cid:durableId="979841267">
    <w:abstractNumId w:val="28"/>
  </w:num>
  <w:num w:numId="23" w16cid:durableId="546456324">
    <w:abstractNumId w:val="19"/>
  </w:num>
  <w:num w:numId="24" w16cid:durableId="1608073720">
    <w:abstractNumId w:val="23"/>
  </w:num>
  <w:num w:numId="25" w16cid:durableId="27145492">
    <w:abstractNumId w:val="27"/>
  </w:num>
  <w:num w:numId="26" w16cid:durableId="1549761656">
    <w:abstractNumId w:val="16"/>
  </w:num>
  <w:num w:numId="27" w16cid:durableId="1527134996">
    <w:abstractNumId w:val="13"/>
  </w:num>
  <w:num w:numId="28" w16cid:durableId="2128307731">
    <w:abstractNumId w:val="6"/>
  </w:num>
  <w:num w:numId="29" w16cid:durableId="583882841">
    <w:abstractNumId w:val="24"/>
    <w:lvlOverride w:ilvl="0">
      <w:startOverride w:val="1"/>
    </w:lvlOverride>
  </w:num>
  <w:num w:numId="30" w16cid:durableId="1333214563">
    <w:abstractNumId w:val="18"/>
    <w:lvlOverride w:ilvl="0">
      <w:startOverride w:val="1"/>
    </w:lvlOverride>
  </w:num>
  <w:num w:numId="31" w16cid:durableId="1418135511">
    <w:abstractNumId w:val="12"/>
  </w:num>
  <w:num w:numId="32" w16cid:durableId="410737081">
    <w:abstractNumId w:val="26"/>
  </w:num>
  <w:num w:numId="33" w16cid:durableId="1315573478">
    <w:abstractNumId w:val="0"/>
  </w:num>
  <w:num w:numId="34" w16cid:durableId="1629704066">
    <w:abstractNumId w:val="24"/>
  </w:num>
  <w:num w:numId="35" w16cid:durableId="2098164350">
    <w:abstractNumId w:val="18"/>
  </w:num>
  <w:num w:numId="36" w16cid:durableId="272442213">
    <w:abstractNumId w:val="7"/>
  </w:num>
  <w:num w:numId="37" w16cid:durableId="263345379">
    <w:abstractNumId w:val="2"/>
  </w:num>
  <w:num w:numId="38" w16cid:durableId="1363356361">
    <w:abstractNumId w:val="17"/>
  </w:num>
  <w:num w:numId="39" w16cid:durableId="837696494">
    <w:abstractNumId w:val="32"/>
  </w:num>
  <w:num w:numId="40" w16cid:durableId="183672095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A34"/>
    <w:rsid w:val="00080B55"/>
    <w:rsid w:val="00111A05"/>
    <w:rsid w:val="00177BC7"/>
    <w:rsid w:val="001C1A34"/>
    <w:rsid w:val="0023660F"/>
    <w:rsid w:val="002A7BC1"/>
    <w:rsid w:val="002E677B"/>
    <w:rsid w:val="00321B16"/>
    <w:rsid w:val="00353817"/>
    <w:rsid w:val="003F1F70"/>
    <w:rsid w:val="003F2B17"/>
    <w:rsid w:val="003F433E"/>
    <w:rsid w:val="003F7E9A"/>
    <w:rsid w:val="004151EB"/>
    <w:rsid w:val="0048615A"/>
    <w:rsid w:val="0052618D"/>
    <w:rsid w:val="00536FFF"/>
    <w:rsid w:val="005B6815"/>
    <w:rsid w:val="005C6702"/>
    <w:rsid w:val="006C084F"/>
    <w:rsid w:val="006F4F6C"/>
    <w:rsid w:val="006F63F3"/>
    <w:rsid w:val="00741E55"/>
    <w:rsid w:val="00756B6A"/>
    <w:rsid w:val="007634BC"/>
    <w:rsid w:val="00784112"/>
    <w:rsid w:val="007D11B2"/>
    <w:rsid w:val="008306D0"/>
    <w:rsid w:val="00886851"/>
    <w:rsid w:val="00905513"/>
    <w:rsid w:val="00920F55"/>
    <w:rsid w:val="009225CA"/>
    <w:rsid w:val="0094392A"/>
    <w:rsid w:val="009A3DD7"/>
    <w:rsid w:val="009C1238"/>
    <w:rsid w:val="009D6DC4"/>
    <w:rsid w:val="009F0FA8"/>
    <w:rsid w:val="00A12DB1"/>
    <w:rsid w:val="00A82EDC"/>
    <w:rsid w:val="00A91C78"/>
    <w:rsid w:val="00AC0FB2"/>
    <w:rsid w:val="00BD141B"/>
    <w:rsid w:val="00CA183F"/>
    <w:rsid w:val="00CA5872"/>
    <w:rsid w:val="00CC1101"/>
    <w:rsid w:val="00CF01B2"/>
    <w:rsid w:val="00D14D2A"/>
    <w:rsid w:val="00D42A63"/>
    <w:rsid w:val="00DA743A"/>
    <w:rsid w:val="00F24069"/>
    <w:rsid w:val="00F47351"/>
    <w:rsid w:val="00FA2498"/>
    <w:rsid w:val="00FD644B"/>
    <w:rsid w:val="02B345DC"/>
    <w:rsid w:val="063D949C"/>
    <w:rsid w:val="150D44B3"/>
    <w:rsid w:val="19F8E3AE"/>
    <w:rsid w:val="1AC408E9"/>
    <w:rsid w:val="1FE4DD45"/>
    <w:rsid w:val="26ED4266"/>
    <w:rsid w:val="27874789"/>
    <w:rsid w:val="2BCEEC2B"/>
    <w:rsid w:val="2BFCE5CC"/>
    <w:rsid w:val="2F8FB082"/>
    <w:rsid w:val="3222843A"/>
    <w:rsid w:val="336366BE"/>
    <w:rsid w:val="33774C38"/>
    <w:rsid w:val="35131C99"/>
    <w:rsid w:val="36D0056C"/>
    <w:rsid w:val="4600BC97"/>
    <w:rsid w:val="494A3140"/>
    <w:rsid w:val="4FAFB837"/>
    <w:rsid w:val="523DD526"/>
    <w:rsid w:val="5577B2D1"/>
    <w:rsid w:val="57BBC371"/>
    <w:rsid w:val="5D2FECEF"/>
    <w:rsid w:val="5D3F2F88"/>
    <w:rsid w:val="66A267E7"/>
    <w:rsid w:val="67B017A3"/>
    <w:rsid w:val="6AF258D9"/>
    <w:rsid w:val="72536417"/>
    <w:rsid w:val="748012C2"/>
    <w:rsid w:val="798D0B34"/>
    <w:rsid w:val="7C0B2138"/>
    <w:rsid w:val="7CFE1C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C458A4"/>
  <w15:chartTrackingRefBased/>
  <w15:docId w15:val="{68F54899-1FA6-4178-AB8C-4C349D202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A3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
    <w:next w:val="Normal"/>
    <w:link w:val="Heading1Char"/>
    <w:qFormat/>
    <w:rsid w:val="001C1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ja-JP"/>
      <w14:ligatures w14:val="none"/>
    </w:rPr>
  </w:style>
  <w:style w:type="paragraph" w:styleId="Heading2">
    <w:name w:val="heading 2"/>
    <w:basedOn w:val="Normal"/>
    <w:next w:val="Normal"/>
    <w:link w:val="Heading2Char"/>
    <w:uiPriority w:val="9"/>
    <w:semiHidden/>
    <w:unhideWhenUsed/>
    <w:qFormat/>
    <w:rsid w:val="00080B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C1A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C1A34"/>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C1A34"/>
    <w:rPr>
      <w:rFonts w:ascii="Arial" w:eastAsia="Times New Roman" w:hAnsi="Arial" w:cs="Times New Roman"/>
      <w:kern w:val="0"/>
      <w:sz w:val="36"/>
      <w:szCs w:val="20"/>
      <w:lang w:val="en-GB" w:eastAsia="ja-JP"/>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1A34"/>
    <w:rPr>
      <w:rFonts w:ascii="Arial" w:eastAsia="Times New Roman" w:hAnsi="Arial" w:cs="Times New Roman"/>
      <w:kern w:val="0"/>
      <w:szCs w:val="20"/>
      <w:lang w:val="en-GB" w:eastAsia="ja-JP"/>
      <w14:ligatures w14:val="none"/>
    </w:rPr>
  </w:style>
  <w:style w:type="paragraph" w:customStyle="1" w:styleId="3GPPHeader">
    <w:name w:val="3GPP_Header"/>
    <w:basedOn w:val="BodyText"/>
    <w:rsid w:val="001C1A34"/>
    <w:pPr>
      <w:tabs>
        <w:tab w:val="left" w:pos="1701"/>
        <w:tab w:val="right" w:pos="9639"/>
      </w:tabs>
      <w:spacing w:after="240"/>
    </w:pPr>
    <w:rPr>
      <w:b/>
      <w:sz w:val="24"/>
    </w:rPr>
  </w:style>
  <w:style w:type="paragraph" w:styleId="BodyText">
    <w:name w:val="Body Text"/>
    <w:basedOn w:val="Normal"/>
    <w:link w:val="BodyTextChar"/>
    <w:qFormat/>
    <w:rsid w:val="001C1A34"/>
    <w:pPr>
      <w:spacing w:after="120"/>
      <w:jc w:val="both"/>
    </w:pPr>
    <w:rPr>
      <w:rFonts w:ascii="Arial" w:hAnsi="Arial"/>
      <w:lang w:eastAsia="zh-CN"/>
    </w:rPr>
  </w:style>
  <w:style w:type="character" w:customStyle="1" w:styleId="BodyTextChar">
    <w:name w:val="Body Text Char"/>
    <w:basedOn w:val="DefaultParagraphFont"/>
    <w:link w:val="BodyText"/>
    <w:qFormat/>
    <w:rsid w:val="001C1A34"/>
    <w:rPr>
      <w:rFonts w:ascii="Arial" w:eastAsia="Times New Roman" w:hAnsi="Arial" w:cs="Times New Roman"/>
      <w:kern w:val="0"/>
      <w:sz w:val="20"/>
      <w:szCs w:val="20"/>
      <w:lang w:val="en-GB" w:eastAsia="zh-CN"/>
      <w14:ligatures w14:val="none"/>
    </w:rPr>
  </w:style>
  <w:style w:type="character" w:styleId="Hyperlink">
    <w:name w:val="Hyperlink"/>
    <w:uiPriority w:val="99"/>
    <w:qFormat/>
    <w:rsid w:val="001C1A34"/>
    <w:rPr>
      <w:color w:val="0000FF"/>
      <w:u w:val="single"/>
    </w:rPr>
  </w:style>
  <w:style w:type="paragraph" w:customStyle="1" w:styleId="B1">
    <w:name w:val="B1"/>
    <w:basedOn w:val="List"/>
    <w:link w:val="B1Char1"/>
    <w:qFormat/>
    <w:rsid w:val="001C1A34"/>
    <w:pPr>
      <w:spacing w:after="120"/>
      <w:ind w:left="568" w:hanging="284"/>
      <w:contextualSpacing w:val="0"/>
      <w:jc w:val="both"/>
    </w:pPr>
    <w:rPr>
      <w:lang w:eastAsia="zh-CN"/>
    </w:rPr>
  </w:style>
  <w:style w:type="paragraph" w:customStyle="1" w:styleId="B2">
    <w:name w:val="B2"/>
    <w:basedOn w:val="List2"/>
    <w:link w:val="B2Char"/>
    <w:qFormat/>
    <w:rsid w:val="001C1A34"/>
    <w:pPr>
      <w:spacing w:after="120"/>
      <w:ind w:left="851" w:hanging="284"/>
      <w:contextualSpacing w:val="0"/>
      <w:jc w:val="both"/>
    </w:pPr>
  </w:style>
  <w:style w:type="paragraph" w:customStyle="1" w:styleId="B3">
    <w:name w:val="B3"/>
    <w:basedOn w:val="List3"/>
    <w:link w:val="B3Char2"/>
    <w:qFormat/>
    <w:rsid w:val="001C1A34"/>
    <w:pPr>
      <w:spacing w:after="120"/>
      <w:ind w:left="1135" w:hanging="284"/>
      <w:contextualSpacing w:val="0"/>
      <w:jc w:val="both"/>
    </w:pPr>
  </w:style>
  <w:style w:type="paragraph" w:customStyle="1" w:styleId="B4">
    <w:name w:val="B4"/>
    <w:basedOn w:val="List4"/>
    <w:link w:val="B4Char"/>
    <w:qFormat/>
    <w:rsid w:val="001C1A34"/>
    <w:pPr>
      <w:spacing w:after="120"/>
      <w:ind w:left="1418" w:hanging="284"/>
      <w:contextualSpacing w:val="0"/>
      <w:jc w:val="both"/>
    </w:pPr>
  </w:style>
  <w:style w:type="paragraph" w:customStyle="1" w:styleId="Proposal">
    <w:name w:val="Proposal"/>
    <w:basedOn w:val="BodyText"/>
    <w:qFormat/>
    <w:rsid w:val="001C1A34"/>
    <w:pPr>
      <w:numPr>
        <w:numId w:val="30"/>
      </w:numPr>
      <w:tabs>
        <w:tab w:val="clear" w:pos="1304"/>
        <w:tab w:val="left" w:pos="1701"/>
      </w:tabs>
    </w:pPr>
    <w:rPr>
      <w:b/>
      <w:bCs/>
    </w:rPr>
  </w:style>
  <w:style w:type="paragraph" w:customStyle="1" w:styleId="B5">
    <w:name w:val="B5"/>
    <w:basedOn w:val="List5"/>
    <w:link w:val="B5Char"/>
    <w:qFormat/>
    <w:rsid w:val="001C1A34"/>
    <w:pPr>
      <w:spacing w:after="120"/>
      <w:ind w:left="1702" w:hanging="284"/>
      <w:contextualSpacing w:val="0"/>
      <w:jc w:val="both"/>
    </w:pPr>
  </w:style>
  <w:style w:type="paragraph" w:customStyle="1" w:styleId="Observation">
    <w:name w:val="Observation"/>
    <w:basedOn w:val="Proposal"/>
    <w:qFormat/>
    <w:rsid w:val="001C1A34"/>
    <w:pPr>
      <w:numPr>
        <w:numId w:val="29"/>
      </w:numPr>
    </w:pPr>
    <w:rPr>
      <w:lang w:eastAsia="ja-JP"/>
    </w:rPr>
  </w:style>
  <w:style w:type="paragraph" w:styleId="TableofFigures">
    <w:name w:val="table of figures"/>
    <w:basedOn w:val="BodyText"/>
    <w:next w:val="Normal"/>
    <w:uiPriority w:val="99"/>
    <w:qFormat/>
    <w:rsid w:val="001C1A34"/>
    <w:pPr>
      <w:ind w:left="1701" w:hanging="1701"/>
      <w:jc w:val="left"/>
    </w:pPr>
    <w:rPr>
      <w:b/>
    </w:rPr>
  </w:style>
  <w:style w:type="character" w:customStyle="1" w:styleId="B1Char1">
    <w:name w:val="B1 Char1"/>
    <w:link w:val="B1"/>
    <w:qFormat/>
    <w:rsid w:val="001C1A34"/>
    <w:rPr>
      <w:rFonts w:ascii="Times New Roman" w:eastAsia="Times New Roman" w:hAnsi="Times New Roman" w:cs="Times New Roman"/>
      <w:kern w:val="0"/>
      <w:sz w:val="20"/>
      <w:szCs w:val="20"/>
      <w:lang w:val="en-GB" w:eastAsia="zh-CN"/>
      <w14:ligatures w14:val="none"/>
    </w:rPr>
  </w:style>
  <w:style w:type="character" w:customStyle="1" w:styleId="B2Char">
    <w:name w:val="B2 Char"/>
    <w:link w:val="B2"/>
    <w:qFormat/>
    <w:rsid w:val="001C1A34"/>
    <w:rPr>
      <w:rFonts w:ascii="Times New Roman" w:eastAsia="Times New Roman" w:hAnsi="Times New Roman" w:cs="Times New Roman"/>
      <w:kern w:val="0"/>
      <w:sz w:val="20"/>
      <w:szCs w:val="20"/>
      <w:lang w:val="en-GB" w:eastAsia="ja-JP"/>
      <w14:ligatures w14:val="none"/>
    </w:rPr>
  </w:style>
  <w:style w:type="character" w:customStyle="1" w:styleId="B3Char2">
    <w:name w:val="B3 Char2"/>
    <w:link w:val="B3"/>
    <w:qFormat/>
    <w:rsid w:val="001C1A34"/>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1C1A34"/>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1C1A34"/>
    <w:rPr>
      <w:rFonts w:ascii="Times New Roman" w:eastAsia="Times New Roman" w:hAnsi="Times New Roman" w:cs="Times New Roman"/>
      <w:kern w:val="0"/>
      <w:sz w:val="20"/>
      <w:szCs w:val="20"/>
      <w:lang w:val="en-GB" w:eastAsia="ja-JP"/>
      <w14:ligatures w14:val="none"/>
    </w:rPr>
  </w:style>
  <w:style w:type="paragraph" w:customStyle="1" w:styleId="Doc-text2">
    <w:name w:val="Doc-text2"/>
    <w:basedOn w:val="Normal"/>
    <w:link w:val="Doc-text2Char"/>
    <w:qFormat/>
    <w:rsid w:val="001C1A3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1C1A34"/>
    <w:rPr>
      <w:rFonts w:ascii="Arial" w:eastAsia="MS Mincho" w:hAnsi="Arial" w:cs="Times New Roman"/>
      <w:kern w:val="0"/>
      <w:sz w:val="20"/>
      <w:lang w:val="x-none" w:eastAsia="x-none"/>
      <w14:ligatures w14:val="none"/>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1C1A3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1C1A34"/>
    <w:rPr>
      <w:rFonts w:ascii="Calibri" w:eastAsia="Calibri" w:hAnsi="Calibri" w:cs="Times New Roman"/>
      <w:kern w:val="0"/>
      <w:sz w:val="22"/>
      <w:szCs w:val="22"/>
      <w:lang w:val="x-none"/>
      <w14:ligatures w14:val="none"/>
    </w:rPr>
  </w:style>
  <w:style w:type="character" w:customStyle="1" w:styleId="Heading3Char">
    <w:name w:val="Heading 3 Char"/>
    <w:basedOn w:val="DefaultParagraphFont"/>
    <w:link w:val="Heading3"/>
    <w:uiPriority w:val="9"/>
    <w:semiHidden/>
    <w:rsid w:val="001C1A34"/>
    <w:rPr>
      <w:rFonts w:asciiTheme="majorHAnsi" w:eastAsiaTheme="majorEastAsia" w:hAnsiTheme="majorHAnsi" w:cstheme="majorBidi"/>
      <w:color w:val="1F3763" w:themeColor="accent1" w:themeShade="7F"/>
      <w:kern w:val="0"/>
      <w:lang w:val="en-GB" w:eastAsia="ja-JP"/>
      <w14:ligatures w14:val="none"/>
    </w:rPr>
  </w:style>
  <w:style w:type="paragraph" w:styleId="List">
    <w:name w:val="List"/>
    <w:basedOn w:val="Normal"/>
    <w:uiPriority w:val="99"/>
    <w:semiHidden/>
    <w:unhideWhenUsed/>
    <w:rsid w:val="001C1A34"/>
    <w:pPr>
      <w:ind w:left="283" w:hanging="283"/>
      <w:contextualSpacing/>
    </w:pPr>
  </w:style>
  <w:style w:type="paragraph" w:styleId="List2">
    <w:name w:val="List 2"/>
    <w:basedOn w:val="Normal"/>
    <w:uiPriority w:val="99"/>
    <w:semiHidden/>
    <w:unhideWhenUsed/>
    <w:rsid w:val="001C1A34"/>
    <w:pPr>
      <w:ind w:left="566" w:hanging="283"/>
      <w:contextualSpacing/>
    </w:pPr>
  </w:style>
  <w:style w:type="paragraph" w:styleId="List3">
    <w:name w:val="List 3"/>
    <w:basedOn w:val="Normal"/>
    <w:uiPriority w:val="99"/>
    <w:semiHidden/>
    <w:unhideWhenUsed/>
    <w:rsid w:val="001C1A34"/>
    <w:pPr>
      <w:ind w:left="849" w:hanging="283"/>
      <w:contextualSpacing/>
    </w:pPr>
  </w:style>
  <w:style w:type="paragraph" w:styleId="List4">
    <w:name w:val="List 4"/>
    <w:basedOn w:val="Normal"/>
    <w:uiPriority w:val="99"/>
    <w:semiHidden/>
    <w:unhideWhenUsed/>
    <w:rsid w:val="001C1A34"/>
    <w:pPr>
      <w:ind w:left="1132" w:hanging="283"/>
      <w:contextualSpacing/>
    </w:pPr>
  </w:style>
  <w:style w:type="paragraph" w:styleId="List5">
    <w:name w:val="List 5"/>
    <w:basedOn w:val="Normal"/>
    <w:uiPriority w:val="99"/>
    <w:semiHidden/>
    <w:unhideWhenUsed/>
    <w:rsid w:val="001C1A34"/>
    <w:pPr>
      <w:ind w:left="1415" w:hanging="283"/>
      <w:contextualSpacing/>
    </w:pPr>
  </w:style>
  <w:style w:type="paragraph" w:customStyle="1" w:styleId="IvDbodytext">
    <w:name w:val="IvD bodytext"/>
    <w:basedOn w:val="Normal"/>
    <w:link w:val="IvDbodytextChar"/>
    <w:uiPriority w:val="1"/>
    <w:qFormat/>
    <w:rsid w:val="5D3F2F88"/>
    <w:pPr>
      <w:keepLines/>
      <w:tabs>
        <w:tab w:val="left" w:pos="2552"/>
        <w:tab w:val="left" w:pos="3856"/>
        <w:tab w:val="left" w:pos="5216"/>
        <w:tab w:val="left" w:pos="6464"/>
        <w:tab w:val="left" w:pos="7768"/>
        <w:tab w:val="left" w:pos="9072"/>
        <w:tab w:val="left" w:pos="9639"/>
      </w:tabs>
      <w:spacing w:before="240" w:after="0"/>
    </w:pPr>
    <w:rPr>
      <w:rFonts w:ascii="Arial" w:hAnsi="Arial"/>
      <w:lang w:val="en-US" w:eastAsia="en-US"/>
    </w:rPr>
  </w:style>
  <w:style w:type="paragraph" w:customStyle="1" w:styleId="IvDInstructiontext">
    <w:name w:val="IvD Instructiontext"/>
    <w:basedOn w:val="Normal"/>
    <w:link w:val="IvDInstructiontextChar"/>
    <w:uiPriority w:val="99"/>
    <w:qFormat/>
    <w:rsid w:val="5D3F2F88"/>
    <w:pPr>
      <w:keepLines/>
      <w:tabs>
        <w:tab w:val="left" w:pos="2552"/>
        <w:tab w:val="left" w:pos="3856"/>
        <w:tab w:val="left" w:pos="5216"/>
        <w:tab w:val="left" w:pos="6464"/>
        <w:tab w:val="left" w:pos="7768"/>
        <w:tab w:val="left" w:pos="9072"/>
        <w:tab w:val="left" w:pos="9639"/>
      </w:tabs>
      <w:spacing w:before="240" w:after="0"/>
    </w:pPr>
    <w:rPr>
      <w:rFonts w:ascii="Arial" w:hAnsi="Arial"/>
      <w:i/>
      <w:iCs/>
      <w:color w:val="7F7F7F" w:themeColor="text1" w:themeTint="80"/>
      <w:sz w:val="18"/>
      <w:szCs w:val="18"/>
      <w:lang w:val="en-US" w:eastAsia="en-US"/>
    </w:rPr>
  </w:style>
  <w:style w:type="character" w:customStyle="1" w:styleId="IvDbodytextChar">
    <w:name w:val="IvD bodytext Char"/>
    <w:basedOn w:val="DefaultParagraphFont"/>
    <w:link w:val="IvDbodytext"/>
    <w:uiPriority w:val="1"/>
    <w:rsid w:val="5D3F2F88"/>
    <w:rPr>
      <w:rFonts w:ascii="Arial" w:eastAsia="Times New Roman" w:hAnsi="Arial" w:cs="Times New Roman"/>
      <w:lang w:val="en-US" w:eastAsia="en-US"/>
    </w:rPr>
  </w:style>
  <w:style w:type="character" w:customStyle="1" w:styleId="IvDInstructiontextChar">
    <w:name w:val="IvD Instructiontext Char"/>
    <w:basedOn w:val="DefaultParagraphFont"/>
    <w:link w:val="IvDInstructiontext"/>
    <w:uiPriority w:val="99"/>
    <w:rsid w:val="5D3F2F88"/>
    <w:rPr>
      <w:rFonts w:ascii="Arial" w:eastAsia="Times New Roman" w:hAnsi="Arial" w:cs="Times New Roman"/>
      <w:i/>
      <w:iCs/>
      <w:color w:val="7F7F7F" w:themeColor="text1" w:themeTint="80"/>
      <w:sz w:val="18"/>
      <w:szCs w:val="18"/>
      <w:lang w:val="en-US" w:eastAsia="en-US"/>
    </w:rPr>
  </w:style>
  <w:style w:type="paragraph" w:customStyle="1" w:styleId="Reference">
    <w:name w:val="Reference"/>
    <w:basedOn w:val="Normal"/>
    <w:uiPriority w:val="1"/>
    <w:rsid w:val="009C1238"/>
    <w:pPr>
      <w:numPr>
        <w:numId w:val="7"/>
      </w:numPr>
      <w:tabs>
        <w:tab w:val="num" w:pos="567"/>
      </w:tabs>
      <w:spacing w:after="120"/>
      <w:jc w:val="both"/>
    </w:pPr>
    <w:rPr>
      <w:rFonts w:ascii="Arial" w:hAnsi="Arial"/>
      <w:lang w:eastAsia="zh-CN"/>
    </w:rPr>
  </w:style>
  <w:style w:type="character" w:customStyle="1" w:styleId="Heading2Char">
    <w:name w:val="Heading 2 Char"/>
    <w:basedOn w:val="DefaultParagraphFont"/>
    <w:link w:val="Heading2"/>
    <w:uiPriority w:val="9"/>
    <w:semiHidden/>
    <w:rsid w:val="00080B55"/>
    <w:rPr>
      <w:rFonts w:asciiTheme="majorHAnsi" w:eastAsiaTheme="majorEastAsia" w:hAnsiTheme="majorHAnsi" w:cstheme="majorBidi"/>
      <w:color w:val="2F5496" w:themeColor="accent1" w:themeShade="BF"/>
      <w:kern w:val="0"/>
      <w:sz w:val="26"/>
      <w:szCs w:val="26"/>
      <w:lang w:val="en-GB" w:eastAsia="ja-JP"/>
      <w14:ligatures w14:val="none"/>
    </w:rPr>
  </w:style>
  <w:style w:type="paragraph" w:styleId="ListNumber">
    <w:name w:val="List Number"/>
    <w:basedOn w:val="Normal"/>
    <w:uiPriority w:val="99"/>
    <w:semiHidden/>
    <w:unhideWhenUsed/>
    <w:rsid w:val="00080B55"/>
    <w:pPr>
      <w:numPr>
        <w:numId w:val="33"/>
      </w:numPr>
      <w:contextualSpacing/>
    </w:pPr>
  </w:style>
  <w:style w:type="paragraph" w:customStyle="1" w:styleId="PL">
    <w:name w:val="PL"/>
    <w:link w:val="PLChar"/>
    <w:qFormat/>
    <w:rsid w:val="00080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14:ligatures w14:val="none"/>
    </w:rPr>
  </w:style>
  <w:style w:type="character" w:customStyle="1" w:styleId="PLChar">
    <w:name w:val="PL Char"/>
    <w:link w:val="PL"/>
    <w:qFormat/>
    <w:rsid w:val="00080B55"/>
    <w:rPr>
      <w:rFonts w:ascii="Courier New" w:eastAsia="Batang" w:hAnsi="Courier New" w:cs="Times New Roman"/>
      <w:noProof/>
      <w:kern w:val="0"/>
      <w:sz w:val="16"/>
      <w:szCs w:val="20"/>
      <w:shd w:val="clear" w:color="auto" w:fill="E6E6E6"/>
      <w:lang w:val="en-GB" w:eastAsia="sv-SE"/>
      <w14:ligatures w14:val="none"/>
    </w:rPr>
  </w:style>
  <w:style w:type="character" w:styleId="CommentReference">
    <w:name w:val="annotation reference"/>
    <w:basedOn w:val="DefaultParagraphFont"/>
    <w:uiPriority w:val="99"/>
    <w:semiHidden/>
    <w:unhideWhenUsed/>
    <w:rsid w:val="00BD141B"/>
    <w:rPr>
      <w:sz w:val="16"/>
      <w:szCs w:val="16"/>
    </w:rPr>
  </w:style>
  <w:style w:type="paragraph" w:styleId="CommentText">
    <w:name w:val="annotation text"/>
    <w:basedOn w:val="Normal"/>
    <w:link w:val="CommentTextChar"/>
    <w:uiPriority w:val="99"/>
    <w:semiHidden/>
    <w:unhideWhenUsed/>
    <w:rsid w:val="00BD141B"/>
  </w:style>
  <w:style w:type="character" w:customStyle="1" w:styleId="CommentTextChar">
    <w:name w:val="Comment Text Char"/>
    <w:basedOn w:val="DefaultParagraphFont"/>
    <w:link w:val="CommentText"/>
    <w:uiPriority w:val="99"/>
    <w:semiHidden/>
    <w:rsid w:val="00BD141B"/>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BD141B"/>
    <w:rPr>
      <w:b/>
      <w:bCs/>
    </w:rPr>
  </w:style>
  <w:style w:type="character" w:customStyle="1" w:styleId="CommentSubjectChar">
    <w:name w:val="Comment Subject Char"/>
    <w:basedOn w:val="CommentTextChar"/>
    <w:link w:val="CommentSubject"/>
    <w:uiPriority w:val="99"/>
    <w:semiHidden/>
    <w:rsid w:val="00BD141B"/>
    <w:rPr>
      <w:rFonts w:ascii="Times New Roman" w:eastAsia="Times New Roman" w:hAnsi="Times New Roman" w:cs="Times New Roman"/>
      <w:b/>
      <w:bCs/>
      <w:kern w:val="0"/>
      <w:sz w:val="20"/>
      <w:szCs w:val="20"/>
      <w:lang w:val="en-GB" w:eastAsia="ja-JP"/>
      <w14:ligatures w14:val="none"/>
    </w:rPr>
  </w:style>
  <w:style w:type="paragraph" w:styleId="Revision">
    <w:name w:val="Revision"/>
    <w:hidden/>
    <w:uiPriority w:val="99"/>
    <w:semiHidden/>
    <w:rsid w:val="00353817"/>
    <w:rPr>
      <w:rFonts w:ascii="Times New Roman" w:eastAsia="Times New Roman" w:hAnsi="Times New Roman" w:cs="Times New Roman"/>
      <w:kern w:val="0"/>
      <w:sz w:val="20"/>
      <w:szCs w:val="20"/>
      <w:lang w:val="en-GB" w:eastAsia="ja-JP"/>
      <w14:ligatures w14:val="none"/>
    </w:rPr>
  </w:style>
  <w:style w:type="paragraph" w:styleId="NormalWeb">
    <w:name w:val="Normal (Web)"/>
    <w:basedOn w:val="Normal"/>
    <w:uiPriority w:val="99"/>
    <w:semiHidden/>
    <w:unhideWhenUsed/>
    <w:rsid w:val="00111A05"/>
    <w:pPr>
      <w:overflowPunct/>
      <w:autoSpaceDE/>
      <w:autoSpaceDN/>
      <w:adjustRightInd/>
      <w:spacing w:before="100" w:beforeAutospacing="1" w:after="100" w:afterAutospacing="1"/>
      <w:textAlignment w:val="auto"/>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63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8E9B6A7-2581-4690-B5F6-44C386BDBC40}">
  <ds:schemaRefs>
    <ds:schemaRef ds:uri="http://schemas.microsoft.com/sharepoint/v3/contenttype/forms"/>
  </ds:schemaRefs>
</ds:datastoreItem>
</file>

<file path=customXml/itemProps2.xml><?xml version="1.0" encoding="utf-8"?>
<ds:datastoreItem xmlns:ds="http://schemas.openxmlformats.org/officeDocument/2006/customXml" ds:itemID="{6DB8E98E-16DE-4BA4-898E-8A6342157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BFA46B-BDFD-4C04-9D68-582891143EB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17</Pages>
  <Words>7566</Words>
  <Characters>43130</Characters>
  <Application>Microsoft Office Word</Application>
  <DocSecurity>0</DocSecurity>
  <Lines>359</Lines>
  <Paragraphs>101</Paragraphs>
  <ScaleCrop>false</ScaleCrop>
  <Company/>
  <LinksUpToDate>false</LinksUpToDate>
  <CharactersWithSpaces>50595</CharactersWithSpaces>
  <SharedDoc>false</SharedDoc>
  <HLinks>
    <vt:vector size="414" baseType="variant">
      <vt:variant>
        <vt:i4>1245246</vt:i4>
      </vt:variant>
      <vt:variant>
        <vt:i4>209</vt:i4>
      </vt:variant>
      <vt:variant>
        <vt:i4>0</vt:i4>
      </vt:variant>
      <vt:variant>
        <vt:i4>5</vt:i4>
      </vt:variant>
      <vt:variant>
        <vt:lpwstr/>
      </vt:variant>
      <vt:variant>
        <vt:lpwstr>_Toc134720909</vt:lpwstr>
      </vt:variant>
      <vt:variant>
        <vt:i4>1245246</vt:i4>
      </vt:variant>
      <vt:variant>
        <vt:i4>206</vt:i4>
      </vt:variant>
      <vt:variant>
        <vt:i4>0</vt:i4>
      </vt:variant>
      <vt:variant>
        <vt:i4>5</vt:i4>
      </vt:variant>
      <vt:variant>
        <vt:lpwstr/>
      </vt:variant>
      <vt:variant>
        <vt:lpwstr>_Toc134720908</vt:lpwstr>
      </vt:variant>
      <vt:variant>
        <vt:i4>1245246</vt:i4>
      </vt:variant>
      <vt:variant>
        <vt:i4>203</vt:i4>
      </vt:variant>
      <vt:variant>
        <vt:i4>0</vt:i4>
      </vt:variant>
      <vt:variant>
        <vt:i4>5</vt:i4>
      </vt:variant>
      <vt:variant>
        <vt:lpwstr/>
      </vt:variant>
      <vt:variant>
        <vt:lpwstr>_Toc134720907</vt:lpwstr>
      </vt:variant>
      <vt:variant>
        <vt:i4>1245246</vt:i4>
      </vt:variant>
      <vt:variant>
        <vt:i4>200</vt:i4>
      </vt:variant>
      <vt:variant>
        <vt:i4>0</vt:i4>
      </vt:variant>
      <vt:variant>
        <vt:i4>5</vt:i4>
      </vt:variant>
      <vt:variant>
        <vt:lpwstr/>
      </vt:variant>
      <vt:variant>
        <vt:lpwstr>_Toc134720906</vt:lpwstr>
      </vt:variant>
      <vt:variant>
        <vt:i4>1245246</vt:i4>
      </vt:variant>
      <vt:variant>
        <vt:i4>197</vt:i4>
      </vt:variant>
      <vt:variant>
        <vt:i4>0</vt:i4>
      </vt:variant>
      <vt:variant>
        <vt:i4>5</vt:i4>
      </vt:variant>
      <vt:variant>
        <vt:lpwstr/>
      </vt:variant>
      <vt:variant>
        <vt:lpwstr>_Toc134720905</vt:lpwstr>
      </vt:variant>
      <vt:variant>
        <vt:i4>1245246</vt:i4>
      </vt:variant>
      <vt:variant>
        <vt:i4>194</vt:i4>
      </vt:variant>
      <vt:variant>
        <vt:i4>0</vt:i4>
      </vt:variant>
      <vt:variant>
        <vt:i4>5</vt:i4>
      </vt:variant>
      <vt:variant>
        <vt:lpwstr/>
      </vt:variant>
      <vt:variant>
        <vt:lpwstr>_Toc134720904</vt:lpwstr>
      </vt:variant>
      <vt:variant>
        <vt:i4>1245246</vt:i4>
      </vt:variant>
      <vt:variant>
        <vt:i4>191</vt:i4>
      </vt:variant>
      <vt:variant>
        <vt:i4>0</vt:i4>
      </vt:variant>
      <vt:variant>
        <vt:i4>5</vt:i4>
      </vt:variant>
      <vt:variant>
        <vt:lpwstr/>
      </vt:variant>
      <vt:variant>
        <vt:lpwstr>_Toc134720903</vt:lpwstr>
      </vt:variant>
      <vt:variant>
        <vt:i4>1245246</vt:i4>
      </vt:variant>
      <vt:variant>
        <vt:i4>188</vt:i4>
      </vt:variant>
      <vt:variant>
        <vt:i4>0</vt:i4>
      </vt:variant>
      <vt:variant>
        <vt:i4>5</vt:i4>
      </vt:variant>
      <vt:variant>
        <vt:lpwstr/>
      </vt:variant>
      <vt:variant>
        <vt:lpwstr>_Toc134720902</vt:lpwstr>
      </vt:variant>
      <vt:variant>
        <vt:i4>1245246</vt:i4>
      </vt:variant>
      <vt:variant>
        <vt:i4>185</vt:i4>
      </vt:variant>
      <vt:variant>
        <vt:i4>0</vt:i4>
      </vt:variant>
      <vt:variant>
        <vt:i4>5</vt:i4>
      </vt:variant>
      <vt:variant>
        <vt:lpwstr/>
      </vt:variant>
      <vt:variant>
        <vt:lpwstr>_Toc134720901</vt:lpwstr>
      </vt:variant>
      <vt:variant>
        <vt:i4>1245246</vt:i4>
      </vt:variant>
      <vt:variant>
        <vt:i4>182</vt:i4>
      </vt:variant>
      <vt:variant>
        <vt:i4>0</vt:i4>
      </vt:variant>
      <vt:variant>
        <vt:i4>5</vt:i4>
      </vt:variant>
      <vt:variant>
        <vt:lpwstr/>
      </vt:variant>
      <vt:variant>
        <vt:lpwstr>_Toc134720900</vt:lpwstr>
      </vt:variant>
      <vt:variant>
        <vt:i4>1703999</vt:i4>
      </vt:variant>
      <vt:variant>
        <vt:i4>179</vt:i4>
      </vt:variant>
      <vt:variant>
        <vt:i4>0</vt:i4>
      </vt:variant>
      <vt:variant>
        <vt:i4>5</vt:i4>
      </vt:variant>
      <vt:variant>
        <vt:lpwstr/>
      </vt:variant>
      <vt:variant>
        <vt:lpwstr>_Toc134720899</vt:lpwstr>
      </vt:variant>
      <vt:variant>
        <vt:i4>1703999</vt:i4>
      </vt:variant>
      <vt:variant>
        <vt:i4>176</vt:i4>
      </vt:variant>
      <vt:variant>
        <vt:i4>0</vt:i4>
      </vt:variant>
      <vt:variant>
        <vt:i4>5</vt:i4>
      </vt:variant>
      <vt:variant>
        <vt:lpwstr/>
      </vt:variant>
      <vt:variant>
        <vt:lpwstr>_Toc134720898</vt:lpwstr>
      </vt:variant>
      <vt:variant>
        <vt:i4>1703999</vt:i4>
      </vt:variant>
      <vt:variant>
        <vt:i4>173</vt:i4>
      </vt:variant>
      <vt:variant>
        <vt:i4>0</vt:i4>
      </vt:variant>
      <vt:variant>
        <vt:i4>5</vt:i4>
      </vt:variant>
      <vt:variant>
        <vt:lpwstr/>
      </vt:variant>
      <vt:variant>
        <vt:lpwstr>_Toc134720897</vt:lpwstr>
      </vt:variant>
      <vt:variant>
        <vt:i4>1703999</vt:i4>
      </vt:variant>
      <vt:variant>
        <vt:i4>170</vt:i4>
      </vt:variant>
      <vt:variant>
        <vt:i4>0</vt:i4>
      </vt:variant>
      <vt:variant>
        <vt:i4>5</vt:i4>
      </vt:variant>
      <vt:variant>
        <vt:lpwstr/>
      </vt:variant>
      <vt:variant>
        <vt:lpwstr>_Toc134720896</vt:lpwstr>
      </vt:variant>
      <vt:variant>
        <vt:i4>1703999</vt:i4>
      </vt:variant>
      <vt:variant>
        <vt:i4>167</vt:i4>
      </vt:variant>
      <vt:variant>
        <vt:i4>0</vt:i4>
      </vt:variant>
      <vt:variant>
        <vt:i4>5</vt:i4>
      </vt:variant>
      <vt:variant>
        <vt:lpwstr/>
      </vt:variant>
      <vt:variant>
        <vt:lpwstr>_Toc134720895</vt:lpwstr>
      </vt:variant>
      <vt:variant>
        <vt:i4>1703999</vt:i4>
      </vt:variant>
      <vt:variant>
        <vt:i4>164</vt:i4>
      </vt:variant>
      <vt:variant>
        <vt:i4>0</vt:i4>
      </vt:variant>
      <vt:variant>
        <vt:i4>5</vt:i4>
      </vt:variant>
      <vt:variant>
        <vt:lpwstr/>
      </vt:variant>
      <vt:variant>
        <vt:lpwstr>_Toc134720894</vt:lpwstr>
      </vt:variant>
      <vt:variant>
        <vt:i4>1703999</vt:i4>
      </vt:variant>
      <vt:variant>
        <vt:i4>161</vt:i4>
      </vt:variant>
      <vt:variant>
        <vt:i4>0</vt:i4>
      </vt:variant>
      <vt:variant>
        <vt:i4>5</vt:i4>
      </vt:variant>
      <vt:variant>
        <vt:lpwstr/>
      </vt:variant>
      <vt:variant>
        <vt:lpwstr>_Toc134720893</vt:lpwstr>
      </vt:variant>
      <vt:variant>
        <vt:i4>1703999</vt:i4>
      </vt:variant>
      <vt:variant>
        <vt:i4>158</vt:i4>
      </vt:variant>
      <vt:variant>
        <vt:i4>0</vt:i4>
      </vt:variant>
      <vt:variant>
        <vt:i4>5</vt:i4>
      </vt:variant>
      <vt:variant>
        <vt:lpwstr/>
      </vt:variant>
      <vt:variant>
        <vt:lpwstr>_Toc134720892</vt:lpwstr>
      </vt:variant>
      <vt:variant>
        <vt:i4>1703999</vt:i4>
      </vt:variant>
      <vt:variant>
        <vt:i4>155</vt:i4>
      </vt:variant>
      <vt:variant>
        <vt:i4>0</vt:i4>
      </vt:variant>
      <vt:variant>
        <vt:i4>5</vt:i4>
      </vt:variant>
      <vt:variant>
        <vt:lpwstr/>
      </vt:variant>
      <vt:variant>
        <vt:lpwstr>_Toc134720891</vt:lpwstr>
      </vt:variant>
      <vt:variant>
        <vt:i4>1703999</vt:i4>
      </vt:variant>
      <vt:variant>
        <vt:i4>152</vt:i4>
      </vt:variant>
      <vt:variant>
        <vt:i4>0</vt:i4>
      </vt:variant>
      <vt:variant>
        <vt:i4>5</vt:i4>
      </vt:variant>
      <vt:variant>
        <vt:lpwstr/>
      </vt:variant>
      <vt:variant>
        <vt:lpwstr>_Toc134720890</vt:lpwstr>
      </vt:variant>
      <vt:variant>
        <vt:i4>1769535</vt:i4>
      </vt:variant>
      <vt:variant>
        <vt:i4>149</vt:i4>
      </vt:variant>
      <vt:variant>
        <vt:i4>0</vt:i4>
      </vt:variant>
      <vt:variant>
        <vt:i4>5</vt:i4>
      </vt:variant>
      <vt:variant>
        <vt:lpwstr/>
      </vt:variant>
      <vt:variant>
        <vt:lpwstr>_Toc134720889</vt:lpwstr>
      </vt:variant>
      <vt:variant>
        <vt:i4>1769535</vt:i4>
      </vt:variant>
      <vt:variant>
        <vt:i4>146</vt:i4>
      </vt:variant>
      <vt:variant>
        <vt:i4>0</vt:i4>
      </vt:variant>
      <vt:variant>
        <vt:i4>5</vt:i4>
      </vt:variant>
      <vt:variant>
        <vt:lpwstr/>
      </vt:variant>
      <vt:variant>
        <vt:lpwstr>_Toc134720888</vt:lpwstr>
      </vt:variant>
      <vt:variant>
        <vt:i4>1769535</vt:i4>
      </vt:variant>
      <vt:variant>
        <vt:i4>143</vt:i4>
      </vt:variant>
      <vt:variant>
        <vt:i4>0</vt:i4>
      </vt:variant>
      <vt:variant>
        <vt:i4>5</vt:i4>
      </vt:variant>
      <vt:variant>
        <vt:lpwstr/>
      </vt:variant>
      <vt:variant>
        <vt:lpwstr>_Toc134720887</vt:lpwstr>
      </vt:variant>
      <vt:variant>
        <vt:i4>1769535</vt:i4>
      </vt:variant>
      <vt:variant>
        <vt:i4>140</vt:i4>
      </vt:variant>
      <vt:variant>
        <vt:i4>0</vt:i4>
      </vt:variant>
      <vt:variant>
        <vt:i4>5</vt:i4>
      </vt:variant>
      <vt:variant>
        <vt:lpwstr/>
      </vt:variant>
      <vt:variant>
        <vt:lpwstr>_Toc134720886</vt:lpwstr>
      </vt:variant>
      <vt:variant>
        <vt:i4>1769535</vt:i4>
      </vt:variant>
      <vt:variant>
        <vt:i4>137</vt:i4>
      </vt:variant>
      <vt:variant>
        <vt:i4>0</vt:i4>
      </vt:variant>
      <vt:variant>
        <vt:i4>5</vt:i4>
      </vt:variant>
      <vt:variant>
        <vt:lpwstr/>
      </vt:variant>
      <vt:variant>
        <vt:lpwstr>_Toc134720885</vt:lpwstr>
      </vt:variant>
      <vt:variant>
        <vt:i4>1769535</vt:i4>
      </vt:variant>
      <vt:variant>
        <vt:i4>134</vt:i4>
      </vt:variant>
      <vt:variant>
        <vt:i4>0</vt:i4>
      </vt:variant>
      <vt:variant>
        <vt:i4>5</vt:i4>
      </vt:variant>
      <vt:variant>
        <vt:lpwstr/>
      </vt:variant>
      <vt:variant>
        <vt:lpwstr>_Toc134720884</vt:lpwstr>
      </vt:variant>
      <vt:variant>
        <vt:i4>1769535</vt:i4>
      </vt:variant>
      <vt:variant>
        <vt:i4>131</vt:i4>
      </vt:variant>
      <vt:variant>
        <vt:i4>0</vt:i4>
      </vt:variant>
      <vt:variant>
        <vt:i4>5</vt:i4>
      </vt:variant>
      <vt:variant>
        <vt:lpwstr/>
      </vt:variant>
      <vt:variant>
        <vt:lpwstr>_Toc134720883</vt:lpwstr>
      </vt:variant>
      <vt:variant>
        <vt:i4>1769535</vt:i4>
      </vt:variant>
      <vt:variant>
        <vt:i4>128</vt:i4>
      </vt:variant>
      <vt:variant>
        <vt:i4>0</vt:i4>
      </vt:variant>
      <vt:variant>
        <vt:i4>5</vt:i4>
      </vt:variant>
      <vt:variant>
        <vt:lpwstr/>
      </vt:variant>
      <vt:variant>
        <vt:lpwstr>_Toc134720882</vt:lpwstr>
      </vt:variant>
      <vt:variant>
        <vt:i4>1769535</vt:i4>
      </vt:variant>
      <vt:variant>
        <vt:i4>125</vt:i4>
      </vt:variant>
      <vt:variant>
        <vt:i4>0</vt:i4>
      </vt:variant>
      <vt:variant>
        <vt:i4>5</vt:i4>
      </vt:variant>
      <vt:variant>
        <vt:lpwstr/>
      </vt:variant>
      <vt:variant>
        <vt:lpwstr>_Toc134720881</vt:lpwstr>
      </vt:variant>
      <vt:variant>
        <vt:i4>1769535</vt:i4>
      </vt:variant>
      <vt:variant>
        <vt:i4>122</vt:i4>
      </vt:variant>
      <vt:variant>
        <vt:i4>0</vt:i4>
      </vt:variant>
      <vt:variant>
        <vt:i4>5</vt:i4>
      </vt:variant>
      <vt:variant>
        <vt:lpwstr/>
      </vt:variant>
      <vt:variant>
        <vt:lpwstr>_Toc134720880</vt:lpwstr>
      </vt:variant>
      <vt:variant>
        <vt:i4>1310783</vt:i4>
      </vt:variant>
      <vt:variant>
        <vt:i4>119</vt:i4>
      </vt:variant>
      <vt:variant>
        <vt:i4>0</vt:i4>
      </vt:variant>
      <vt:variant>
        <vt:i4>5</vt:i4>
      </vt:variant>
      <vt:variant>
        <vt:lpwstr/>
      </vt:variant>
      <vt:variant>
        <vt:lpwstr>_Toc134720879</vt:lpwstr>
      </vt:variant>
      <vt:variant>
        <vt:i4>1310783</vt:i4>
      </vt:variant>
      <vt:variant>
        <vt:i4>116</vt:i4>
      </vt:variant>
      <vt:variant>
        <vt:i4>0</vt:i4>
      </vt:variant>
      <vt:variant>
        <vt:i4>5</vt:i4>
      </vt:variant>
      <vt:variant>
        <vt:lpwstr/>
      </vt:variant>
      <vt:variant>
        <vt:lpwstr>_Toc134720878</vt:lpwstr>
      </vt:variant>
      <vt:variant>
        <vt:i4>1310783</vt:i4>
      </vt:variant>
      <vt:variant>
        <vt:i4>113</vt:i4>
      </vt:variant>
      <vt:variant>
        <vt:i4>0</vt:i4>
      </vt:variant>
      <vt:variant>
        <vt:i4>5</vt:i4>
      </vt:variant>
      <vt:variant>
        <vt:lpwstr/>
      </vt:variant>
      <vt:variant>
        <vt:lpwstr>_Toc134720877</vt:lpwstr>
      </vt:variant>
      <vt:variant>
        <vt:i4>1310783</vt:i4>
      </vt:variant>
      <vt:variant>
        <vt:i4>110</vt:i4>
      </vt:variant>
      <vt:variant>
        <vt:i4>0</vt:i4>
      </vt:variant>
      <vt:variant>
        <vt:i4>5</vt:i4>
      </vt:variant>
      <vt:variant>
        <vt:lpwstr/>
      </vt:variant>
      <vt:variant>
        <vt:lpwstr>_Toc134720876</vt:lpwstr>
      </vt:variant>
      <vt:variant>
        <vt:i4>1310783</vt:i4>
      </vt:variant>
      <vt:variant>
        <vt:i4>107</vt:i4>
      </vt:variant>
      <vt:variant>
        <vt:i4>0</vt:i4>
      </vt:variant>
      <vt:variant>
        <vt:i4>5</vt:i4>
      </vt:variant>
      <vt:variant>
        <vt:lpwstr/>
      </vt:variant>
      <vt:variant>
        <vt:lpwstr>_Toc134720875</vt:lpwstr>
      </vt:variant>
      <vt:variant>
        <vt:i4>1310783</vt:i4>
      </vt:variant>
      <vt:variant>
        <vt:i4>104</vt:i4>
      </vt:variant>
      <vt:variant>
        <vt:i4>0</vt:i4>
      </vt:variant>
      <vt:variant>
        <vt:i4>5</vt:i4>
      </vt:variant>
      <vt:variant>
        <vt:lpwstr/>
      </vt:variant>
      <vt:variant>
        <vt:lpwstr>_Toc134720874</vt:lpwstr>
      </vt:variant>
      <vt:variant>
        <vt:i4>1310783</vt:i4>
      </vt:variant>
      <vt:variant>
        <vt:i4>101</vt:i4>
      </vt:variant>
      <vt:variant>
        <vt:i4>0</vt:i4>
      </vt:variant>
      <vt:variant>
        <vt:i4>5</vt:i4>
      </vt:variant>
      <vt:variant>
        <vt:lpwstr/>
      </vt:variant>
      <vt:variant>
        <vt:lpwstr>_Toc134720873</vt:lpwstr>
      </vt:variant>
      <vt:variant>
        <vt:i4>1310783</vt:i4>
      </vt:variant>
      <vt:variant>
        <vt:i4>98</vt:i4>
      </vt:variant>
      <vt:variant>
        <vt:i4>0</vt:i4>
      </vt:variant>
      <vt:variant>
        <vt:i4>5</vt:i4>
      </vt:variant>
      <vt:variant>
        <vt:lpwstr/>
      </vt:variant>
      <vt:variant>
        <vt:lpwstr>_Toc134720872</vt:lpwstr>
      </vt:variant>
      <vt:variant>
        <vt:i4>1310783</vt:i4>
      </vt:variant>
      <vt:variant>
        <vt:i4>95</vt:i4>
      </vt:variant>
      <vt:variant>
        <vt:i4>0</vt:i4>
      </vt:variant>
      <vt:variant>
        <vt:i4>5</vt:i4>
      </vt:variant>
      <vt:variant>
        <vt:lpwstr/>
      </vt:variant>
      <vt:variant>
        <vt:lpwstr>_Toc134720871</vt:lpwstr>
      </vt:variant>
      <vt:variant>
        <vt:i4>1310783</vt:i4>
      </vt:variant>
      <vt:variant>
        <vt:i4>92</vt:i4>
      </vt:variant>
      <vt:variant>
        <vt:i4>0</vt:i4>
      </vt:variant>
      <vt:variant>
        <vt:i4>5</vt:i4>
      </vt:variant>
      <vt:variant>
        <vt:lpwstr/>
      </vt:variant>
      <vt:variant>
        <vt:lpwstr>_Toc134720870</vt:lpwstr>
      </vt:variant>
      <vt:variant>
        <vt:i4>1376319</vt:i4>
      </vt:variant>
      <vt:variant>
        <vt:i4>89</vt:i4>
      </vt:variant>
      <vt:variant>
        <vt:i4>0</vt:i4>
      </vt:variant>
      <vt:variant>
        <vt:i4>5</vt:i4>
      </vt:variant>
      <vt:variant>
        <vt:lpwstr/>
      </vt:variant>
      <vt:variant>
        <vt:lpwstr>_Toc134720869</vt:lpwstr>
      </vt:variant>
      <vt:variant>
        <vt:i4>1376319</vt:i4>
      </vt:variant>
      <vt:variant>
        <vt:i4>86</vt:i4>
      </vt:variant>
      <vt:variant>
        <vt:i4>0</vt:i4>
      </vt:variant>
      <vt:variant>
        <vt:i4>5</vt:i4>
      </vt:variant>
      <vt:variant>
        <vt:lpwstr/>
      </vt:variant>
      <vt:variant>
        <vt:lpwstr>_Toc134720868</vt:lpwstr>
      </vt:variant>
      <vt:variant>
        <vt:i4>1376319</vt:i4>
      </vt:variant>
      <vt:variant>
        <vt:i4>83</vt:i4>
      </vt:variant>
      <vt:variant>
        <vt:i4>0</vt:i4>
      </vt:variant>
      <vt:variant>
        <vt:i4>5</vt:i4>
      </vt:variant>
      <vt:variant>
        <vt:lpwstr/>
      </vt:variant>
      <vt:variant>
        <vt:lpwstr>_Toc134720867</vt:lpwstr>
      </vt:variant>
      <vt:variant>
        <vt:i4>1376319</vt:i4>
      </vt:variant>
      <vt:variant>
        <vt:i4>80</vt:i4>
      </vt:variant>
      <vt:variant>
        <vt:i4>0</vt:i4>
      </vt:variant>
      <vt:variant>
        <vt:i4>5</vt:i4>
      </vt:variant>
      <vt:variant>
        <vt:lpwstr/>
      </vt:variant>
      <vt:variant>
        <vt:lpwstr>_Toc134720866</vt:lpwstr>
      </vt:variant>
      <vt:variant>
        <vt:i4>1376319</vt:i4>
      </vt:variant>
      <vt:variant>
        <vt:i4>77</vt:i4>
      </vt:variant>
      <vt:variant>
        <vt:i4>0</vt:i4>
      </vt:variant>
      <vt:variant>
        <vt:i4>5</vt:i4>
      </vt:variant>
      <vt:variant>
        <vt:lpwstr/>
      </vt:variant>
      <vt:variant>
        <vt:lpwstr>_Toc134720865</vt:lpwstr>
      </vt:variant>
      <vt:variant>
        <vt:i4>1376319</vt:i4>
      </vt:variant>
      <vt:variant>
        <vt:i4>74</vt:i4>
      </vt:variant>
      <vt:variant>
        <vt:i4>0</vt:i4>
      </vt:variant>
      <vt:variant>
        <vt:i4>5</vt:i4>
      </vt:variant>
      <vt:variant>
        <vt:lpwstr/>
      </vt:variant>
      <vt:variant>
        <vt:lpwstr>_Toc134720864</vt:lpwstr>
      </vt:variant>
      <vt:variant>
        <vt:i4>1376319</vt:i4>
      </vt:variant>
      <vt:variant>
        <vt:i4>71</vt:i4>
      </vt:variant>
      <vt:variant>
        <vt:i4>0</vt:i4>
      </vt:variant>
      <vt:variant>
        <vt:i4>5</vt:i4>
      </vt:variant>
      <vt:variant>
        <vt:lpwstr/>
      </vt:variant>
      <vt:variant>
        <vt:lpwstr>_Toc134720863</vt:lpwstr>
      </vt:variant>
      <vt:variant>
        <vt:i4>1376319</vt:i4>
      </vt:variant>
      <vt:variant>
        <vt:i4>68</vt:i4>
      </vt:variant>
      <vt:variant>
        <vt:i4>0</vt:i4>
      </vt:variant>
      <vt:variant>
        <vt:i4>5</vt:i4>
      </vt:variant>
      <vt:variant>
        <vt:lpwstr/>
      </vt:variant>
      <vt:variant>
        <vt:lpwstr>_Toc134720862</vt:lpwstr>
      </vt:variant>
      <vt:variant>
        <vt:i4>1376319</vt:i4>
      </vt:variant>
      <vt:variant>
        <vt:i4>62</vt:i4>
      </vt:variant>
      <vt:variant>
        <vt:i4>0</vt:i4>
      </vt:variant>
      <vt:variant>
        <vt:i4>5</vt:i4>
      </vt:variant>
      <vt:variant>
        <vt:lpwstr/>
      </vt:variant>
      <vt:variant>
        <vt:lpwstr>_Toc134720861</vt:lpwstr>
      </vt:variant>
      <vt:variant>
        <vt:i4>1376319</vt:i4>
      </vt:variant>
      <vt:variant>
        <vt:i4>59</vt:i4>
      </vt:variant>
      <vt:variant>
        <vt:i4>0</vt:i4>
      </vt:variant>
      <vt:variant>
        <vt:i4>5</vt:i4>
      </vt:variant>
      <vt:variant>
        <vt:lpwstr/>
      </vt:variant>
      <vt:variant>
        <vt:lpwstr>_Toc134720860</vt:lpwstr>
      </vt:variant>
      <vt:variant>
        <vt:i4>1441855</vt:i4>
      </vt:variant>
      <vt:variant>
        <vt:i4>56</vt:i4>
      </vt:variant>
      <vt:variant>
        <vt:i4>0</vt:i4>
      </vt:variant>
      <vt:variant>
        <vt:i4>5</vt:i4>
      </vt:variant>
      <vt:variant>
        <vt:lpwstr/>
      </vt:variant>
      <vt:variant>
        <vt:lpwstr>_Toc134720859</vt:lpwstr>
      </vt:variant>
      <vt:variant>
        <vt:i4>1441855</vt:i4>
      </vt:variant>
      <vt:variant>
        <vt:i4>53</vt:i4>
      </vt:variant>
      <vt:variant>
        <vt:i4>0</vt:i4>
      </vt:variant>
      <vt:variant>
        <vt:i4>5</vt:i4>
      </vt:variant>
      <vt:variant>
        <vt:lpwstr/>
      </vt:variant>
      <vt:variant>
        <vt:lpwstr>_Toc134720858</vt:lpwstr>
      </vt:variant>
      <vt:variant>
        <vt:i4>1441855</vt:i4>
      </vt:variant>
      <vt:variant>
        <vt:i4>50</vt:i4>
      </vt:variant>
      <vt:variant>
        <vt:i4>0</vt:i4>
      </vt:variant>
      <vt:variant>
        <vt:i4>5</vt:i4>
      </vt:variant>
      <vt:variant>
        <vt:lpwstr/>
      </vt:variant>
      <vt:variant>
        <vt:lpwstr>_Toc134720857</vt:lpwstr>
      </vt:variant>
      <vt:variant>
        <vt:i4>1441855</vt:i4>
      </vt:variant>
      <vt:variant>
        <vt:i4>47</vt:i4>
      </vt:variant>
      <vt:variant>
        <vt:i4>0</vt:i4>
      </vt:variant>
      <vt:variant>
        <vt:i4>5</vt:i4>
      </vt:variant>
      <vt:variant>
        <vt:lpwstr/>
      </vt:variant>
      <vt:variant>
        <vt:lpwstr>_Toc134720856</vt:lpwstr>
      </vt:variant>
      <vt:variant>
        <vt:i4>1441855</vt:i4>
      </vt:variant>
      <vt:variant>
        <vt:i4>44</vt:i4>
      </vt:variant>
      <vt:variant>
        <vt:i4>0</vt:i4>
      </vt:variant>
      <vt:variant>
        <vt:i4>5</vt:i4>
      </vt:variant>
      <vt:variant>
        <vt:lpwstr/>
      </vt:variant>
      <vt:variant>
        <vt:lpwstr>_Toc134720855</vt:lpwstr>
      </vt:variant>
      <vt:variant>
        <vt:i4>1441855</vt:i4>
      </vt:variant>
      <vt:variant>
        <vt:i4>41</vt:i4>
      </vt:variant>
      <vt:variant>
        <vt:i4>0</vt:i4>
      </vt:variant>
      <vt:variant>
        <vt:i4>5</vt:i4>
      </vt:variant>
      <vt:variant>
        <vt:lpwstr/>
      </vt:variant>
      <vt:variant>
        <vt:lpwstr>_Toc134720854</vt:lpwstr>
      </vt:variant>
      <vt:variant>
        <vt:i4>1441855</vt:i4>
      </vt:variant>
      <vt:variant>
        <vt:i4>38</vt:i4>
      </vt:variant>
      <vt:variant>
        <vt:i4>0</vt:i4>
      </vt:variant>
      <vt:variant>
        <vt:i4>5</vt:i4>
      </vt:variant>
      <vt:variant>
        <vt:lpwstr/>
      </vt:variant>
      <vt:variant>
        <vt:lpwstr>_Toc134720853</vt:lpwstr>
      </vt:variant>
      <vt:variant>
        <vt:i4>1441855</vt:i4>
      </vt:variant>
      <vt:variant>
        <vt:i4>35</vt:i4>
      </vt:variant>
      <vt:variant>
        <vt:i4>0</vt:i4>
      </vt:variant>
      <vt:variant>
        <vt:i4>5</vt:i4>
      </vt:variant>
      <vt:variant>
        <vt:lpwstr/>
      </vt:variant>
      <vt:variant>
        <vt:lpwstr>_Toc134720852</vt:lpwstr>
      </vt:variant>
      <vt:variant>
        <vt:i4>1441855</vt:i4>
      </vt:variant>
      <vt:variant>
        <vt:i4>32</vt:i4>
      </vt:variant>
      <vt:variant>
        <vt:i4>0</vt:i4>
      </vt:variant>
      <vt:variant>
        <vt:i4>5</vt:i4>
      </vt:variant>
      <vt:variant>
        <vt:lpwstr/>
      </vt:variant>
      <vt:variant>
        <vt:lpwstr>_Toc134720851</vt:lpwstr>
      </vt:variant>
      <vt:variant>
        <vt:i4>1441855</vt:i4>
      </vt:variant>
      <vt:variant>
        <vt:i4>29</vt:i4>
      </vt:variant>
      <vt:variant>
        <vt:i4>0</vt:i4>
      </vt:variant>
      <vt:variant>
        <vt:i4>5</vt:i4>
      </vt:variant>
      <vt:variant>
        <vt:lpwstr/>
      </vt:variant>
      <vt:variant>
        <vt:lpwstr>_Toc134720850</vt:lpwstr>
      </vt:variant>
      <vt:variant>
        <vt:i4>1507391</vt:i4>
      </vt:variant>
      <vt:variant>
        <vt:i4>26</vt:i4>
      </vt:variant>
      <vt:variant>
        <vt:i4>0</vt:i4>
      </vt:variant>
      <vt:variant>
        <vt:i4>5</vt:i4>
      </vt:variant>
      <vt:variant>
        <vt:lpwstr/>
      </vt:variant>
      <vt:variant>
        <vt:lpwstr>_Toc134720849</vt:lpwstr>
      </vt:variant>
      <vt:variant>
        <vt:i4>1507391</vt:i4>
      </vt:variant>
      <vt:variant>
        <vt:i4>23</vt:i4>
      </vt:variant>
      <vt:variant>
        <vt:i4>0</vt:i4>
      </vt:variant>
      <vt:variant>
        <vt:i4>5</vt:i4>
      </vt:variant>
      <vt:variant>
        <vt:lpwstr/>
      </vt:variant>
      <vt:variant>
        <vt:lpwstr>_Toc134720848</vt:lpwstr>
      </vt:variant>
      <vt:variant>
        <vt:i4>1507391</vt:i4>
      </vt:variant>
      <vt:variant>
        <vt:i4>20</vt:i4>
      </vt:variant>
      <vt:variant>
        <vt:i4>0</vt:i4>
      </vt:variant>
      <vt:variant>
        <vt:i4>5</vt:i4>
      </vt:variant>
      <vt:variant>
        <vt:lpwstr/>
      </vt:variant>
      <vt:variant>
        <vt:lpwstr>_Toc134720847</vt:lpwstr>
      </vt:variant>
      <vt:variant>
        <vt:i4>1507391</vt:i4>
      </vt:variant>
      <vt:variant>
        <vt:i4>17</vt:i4>
      </vt:variant>
      <vt:variant>
        <vt:i4>0</vt:i4>
      </vt:variant>
      <vt:variant>
        <vt:i4>5</vt:i4>
      </vt:variant>
      <vt:variant>
        <vt:lpwstr/>
      </vt:variant>
      <vt:variant>
        <vt:lpwstr>_Toc134720846</vt:lpwstr>
      </vt:variant>
      <vt:variant>
        <vt:i4>1507391</vt:i4>
      </vt:variant>
      <vt:variant>
        <vt:i4>14</vt:i4>
      </vt:variant>
      <vt:variant>
        <vt:i4>0</vt:i4>
      </vt:variant>
      <vt:variant>
        <vt:i4>5</vt:i4>
      </vt:variant>
      <vt:variant>
        <vt:lpwstr/>
      </vt:variant>
      <vt:variant>
        <vt:lpwstr>_Toc134720845</vt:lpwstr>
      </vt:variant>
      <vt:variant>
        <vt:i4>1507391</vt:i4>
      </vt:variant>
      <vt:variant>
        <vt:i4>11</vt:i4>
      </vt:variant>
      <vt:variant>
        <vt:i4>0</vt:i4>
      </vt:variant>
      <vt:variant>
        <vt:i4>5</vt:i4>
      </vt:variant>
      <vt:variant>
        <vt:lpwstr/>
      </vt:variant>
      <vt:variant>
        <vt:lpwstr>_Toc134720844</vt:lpwstr>
      </vt:variant>
      <vt:variant>
        <vt:i4>1507391</vt:i4>
      </vt:variant>
      <vt:variant>
        <vt:i4>8</vt:i4>
      </vt:variant>
      <vt:variant>
        <vt:i4>0</vt:i4>
      </vt:variant>
      <vt:variant>
        <vt:i4>5</vt:i4>
      </vt:variant>
      <vt:variant>
        <vt:lpwstr/>
      </vt:variant>
      <vt:variant>
        <vt:lpwstr>_Toc134720843</vt:lpwstr>
      </vt:variant>
      <vt:variant>
        <vt:i4>1507391</vt:i4>
      </vt:variant>
      <vt:variant>
        <vt:i4>5</vt:i4>
      </vt:variant>
      <vt:variant>
        <vt:i4>0</vt:i4>
      </vt:variant>
      <vt:variant>
        <vt:i4>5</vt:i4>
      </vt:variant>
      <vt:variant>
        <vt:lpwstr/>
      </vt:variant>
      <vt:variant>
        <vt:lpwstr>_Toc134720842</vt:lpwstr>
      </vt:variant>
      <vt:variant>
        <vt:i4>1507391</vt:i4>
      </vt:variant>
      <vt:variant>
        <vt:i4>2</vt:i4>
      </vt:variant>
      <vt:variant>
        <vt:i4>0</vt:i4>
      </vt:variant>
      <vt:variant>
        <vt:i4>5</vt:i4>
      </vt:variant>
      <vt:variant>
        <vt:lpwstr/>
      </vt:variant>
      <vt:variant>
        <vt:lpwstr>_Toc134720841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Ali Ericsson</cp:lastModifiedBy>
  <cp:revision>44</cp:revision>
  <dcterms:created xsi:type="dcterms:W3CDTF">2023-05-11T12:33:00Z</dcterms:created>
  <dcterms:modified xsi:type="dcterms:W3CDTF">2023-05-11T21:54:00Z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